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金华市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工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业和信息工程专业工程师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职务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任职资格评价条件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（征求意见稿）</w:t>
      </w:r>
      <w:bookmarkStart w:id="0" w:name="_GoBack"/>
      <w:bookmarkEnd w:id="0"/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1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w w:val="95"/>
          <w:sz w:val="30"/>
          <w:szCs w:val="30"/>
        </w:rPr>
        <w:t>第一章</w:t>
      </w:r>
      <w:r>
        <w:rPr>
          <w:rFonts w:hint="eastAsia" w:ascii="黑体" w:hAnsi="黑体" w:eastAsia="黑体" w:cs="黑体"/>
          <w:w w:val="95"/>
          <w:sz w:val="30"/>
          <w:szCs w:val="30"/>
        </w:rPr>
        <w:tab/>
      </w:r>
      <w:r>
        <w:rPr>
          <w:rFonts w:hint="eastAsia" w:ascii="黑体" w:hAnsi="黑体" w:eastAsia="黑体" w:cs="黑体"/>
          <w:w w:val="95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总则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sz w:val="30"/>
          <w:szCs w:val="30"/>
        </w:rPr>
        <w:t>第一条</w:t>
      </w:r>
      <w:r>
        <w:rPr>
          <w:rFonts w:hint="eastAsia" w:ascii="仿宋_GB2312" w:hAnsi="仿宋_GB2312" w:eastAsia="仿宋_GB2312" w:cs="仿宋_GB2312"/>
          <w:b/>
          <w:bCs/>
          <w:spacing w:val="3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为客观公正地评价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我市机电、信息、轻纺、材料、能源、石化等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工程领域专业技术人员的能力和水平，促进工程领域专业技术职务任职资格评价工作的制度化、规范化和科学化，根据国家和我省职称改革有关文件精神，结合我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产业发展现状，制定</w:t>
      </w:r>
      <w:r>
        <w:rPr>
          <w:rFonts w:hint="eastAsia" w:ascii="仿宋_GB2312" w:hAnsi="仿宋_GB2312" w:eastAsia="仿宋_GB2312" w:cs="仿宋_GB2312"/>
          <w:sz w:val="30"/>
          <w:szCs w:val="30"/>
        </w:rPr>
        <w:t>本评价条件。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第二条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本评价条件适用于我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工程领域从事生产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、技术开发、系统集成、设备运行维护和技术改造、技术咨询等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在工作岗位上的工程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专业技术人员申报工程师职务任职资格的评价。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第三条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按照本办法评审通过，并获得工程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工程师职务任职资格的人员，表明其具有相应的专业技术水平和能力，是聘任工程师职务的重要依据。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</w:pPr>
      <w:r>
        <w:rPr>
          <w:rFonts w:hint="eastAsia" w:ascii="黑体" w:hAnsi="黑体" w:eastAsia="黑体" w:cs="黑体"/>
          <w:w w:val="95"/>
          <w:sz w:val="30"/>
          <w:szCs w:val="30"/>
        </w:rPr>
        <w:t>第二章</w:t>
      </w:r>
      <w:r>
        <w:rPr>
          <w:rFonts w:hint="eastAsia" w:ascii="黑体" w:hAnsi="黑体" w:eastAsia="黑体" w:cs="黑体"/>
          <w:w w:val="95"/>
          <w:sz w:val="30"/>
          <w:szCs w:val="30"/>
        </w:rPr>
        <w:tab/>
      </w:r>
      <w:r>
        <w:rPr>
          <w:rFonts w:hint="eastAsia" w:ascii="黑体" w:hAnsi="黑体" w:eastAsia="黑体" w:cs="黑体"/>
          <w:w w:val="95"/>
          <w:sz w:val="30"/>
          <w:szCs w:val="30"/>
        </w:rPr>
        <w:t>申报条件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第四条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思想道德条件 申报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对象必须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遵守国家宪法和法律法规，致力于工程事业，具有良好的职业道德和敬业精神，热爱本职工作，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履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行岗位职责，积极为我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工程事业发展服务。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第五条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 xml:space="preserve"> 资历条件 申报工程师职务任职资格的人员应具备下列条件之一：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（一）具有本专业或相近专业大学专科</w:t>
      </w:r>
      <w:r>
        <w:rPr>
          <w:rFonts w:hint="eastAsia" w:cs="仿宋_GB2312"/>
          <w:spacing w:val="4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本科学历，取得助理工程师职务任职资格后，实际担任助理工程师职务4年以上。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（二）具有本专业或相近专业研究生学历或硕士学位，取得助理工程师职务任职资格后，实际担任助理工程师职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2年以上。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（三）取得其他系列中级职称后因岗位变动，实际从事工程专业技术工作满1年。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（四）取得技师（二级）职业资格或职业技能等级后实际从事工程专业技术工作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3年。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）按本评价条件所附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量化赋分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标准，自评分达到规定分值以上的。自评分值根据行业发展适时调整。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）在工程领域取得下列标志性成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果1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项以上，可直接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标志性业绩申报工程师职务任职资格：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cs="仿宋_GB2312"/>
          <w:color w:val="FF0000"/>
          <w:spacing w:val="4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）参与起草国际标准 1 项以上（排名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前10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位）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14:textFill>
            <w14:solidFill>
              <w14:schemeClr w14:val="tx1"/>
            </w14:solidFill>
          </w14:textFill>
        </w:rPr>
        <w:t>参与起草国家标准1项以上者，且标准已发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布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14:textFill>
            <w14:solidFill>
              <w14:schemeClr w14:val="tx1"/>
            </w14:solidFill>
          </w14:textFill>
        </w:rPr>
        <w:t>实施（排名</w:t>
      </w:r>
      <w:r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前6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14:textFill>
            <w14:solidFill>
              <w14:schemeClr w14:val="tx1"/>
            </w14:solidFill>
          </w14:textFill>
        </w:rPr>
        <w:t>位）</w:t>
      </w:r>
      <w:r>
        <w:rPr>
          <w:rFonts w:hint="eastAsia" w:cs="仿宋_GB2312"/>
          <w:color w:val="000000" w:themeColor="text1"/>
          <w:spacing w:val="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cs="仿宋_GB2312"/>
          <w:spacing w:val="4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>（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2)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获得一项省内首台套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产品。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(3)省部级以上科技奖三等奖以上获奖者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世界技能大赛优胜奖获得者、省技术能手、省级技能大师工作室领办人、浙江工匠、省“百千万”高技能领军人 才培养工程入选的“拔尖技能人才”。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第六条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其他条件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（一）申报人近</w:t>
      </w:r>
      <w:r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年年度考核应为合格或称职以上；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（二）申报人应按要求参加继续教育，并达到专业技术人员继续教育相应学时规定；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（三）事业单位申报人员应符合事业单位专业技术职务评聘结合的要求。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w w:val="95"/>
          <w:sz w:val="30"/>
          <w:szCs w:val="30"/>
        </w:rPr>
      </w:pPr>
      <w:r>
        <w:rPr>
          <w:rFonts w:hint="eastAsia" w:ascii="黑体" w:hAnsi="黑体" w:eastAsia="黑体" w:cs="黑体"/>
          <w:w w:val="95"/>
          <w:sz w:val="30"/>
          <w:szCs w:val="30"/>
        </w:rPr>
        <w:t>第三章</w:t>
      </w:r>
      <w:r>
        <w:rPr>
          <w:rFonts w:hint="eastAsia" w:ascii="黑体" w:hAnsi="黑体" w:eastAsia="黑体" w:cs="黑体"/>
          <w:w w:val="95"/>
          <w:sz w:val="30"/>
          <w:szCs w:val="30"/>
        </w:rPr>
        <w:tab/>
      </w:r>
      <w:r>
        <w:rPr>
          <w:rFonts w:hint="eastAsia" w:ascii="黑体" w:hAnsi="黑体" w:eastAsia="黑体" w:cs="黑体"/>
          <w:w w:val="95"/>
          <w:sz w:val="30"/>
          <w:szCs w:val="30"/>
        </w:rPr>
        <w:t>评审条件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第七条</w:t>
      </w: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0"/>
          <w:szCs w:val="30"/>
        </w:rPr>
        <w:t>专业理论水平与能力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（一）较系统地掌握本专业理论、技术知识，有从事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专业工作的经历和能力，具有解决中等复杂技术问题的能力；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（二）能较熟练掌握相关法律法规、技术标准和规范；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（三）学习能力较强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了解与本专业工作相关的专业知识与专业技术发展趋势。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第八条</w:t>
      </w: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0"/>
          <w:szCs w:val="30"/>
        </w:rPr>
        <w:t>专业工作业绩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（一）专业技术工作经历与水平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任助理工程师职务或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近4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年来，至少具备下列条件之一：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（1）具有一定的本专业工程领域经验，能解决一般复杂技术难题，取得成效。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（2）具有参与完成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本专业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工程项目的技术开发、规划设计、工程建设、系统集成、设备运行维护和技术改造、技术咨询等的经历和能力。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（3）了解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本专业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工程领域技术发展的趋势，具有较强的技术创新经历和能力。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（二）专业技术工作业绩与成果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担任助理工程师职务或近4年来，应具备下列条件之一：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（1）参与完成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本专业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领域县</w:t>
      </w:r>
      <w:r>
        <w:rPr>
          <w:rFonts w:hint="eastAsia" w:cs="仿宋_GB2312"/>
          <w:spacing w:val="4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区级以上科研项目，并通过评审、验收。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（2）参与完成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工程项目的生产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、技术开发、系统集成、设备运行维护和技术改造、技术咨询等 2 项以上，并达到技术要求（以立项、验收鉴定材料为准）。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（3）参与起草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本专业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领域的国际、国家</w:t>
      </w:r>
      <w:r>
        <w:rPr>
          <w:rFonts w:hint="eastAsia" w:cs="仿宋_GB2312"/>
          <w:spacing w:val="4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行业、地方、团体标准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企业标准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并发布实施。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（4）获得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本专业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领域的发明专利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软件著作权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或实用新型专利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外观专利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，并转化实施（以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专利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证书为准）。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（5）获得省级以上首台（套）产品或省级政府部门认定、 并具有经济效益的省级新产品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或参与市级以上企业数字化车间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智能工厂、未来工厂、绿色工厂等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w w:val="95"/>
          <w:sz w:val="30"/>
          <w:szCs w:val="30"/>
        </w:rPr>
      </w:pPr>
      <w:r>
        <w:rPr>
          <w:rFonts w:hint="eastAsia" w:ascii="黑体" w:hAnsi="黑体" w:eastAsia="黑体" w:cs="黑体"/>
          <w:w w:val="95"/>
          <w:sz w:val="30"/>
          <w:szCs w:val="30"/>
        </w:rPr>
        <w:t>第四章</w:t>
      </w:r>
      <w:r>
        <w:rPr>
          <w:rFonts w:hint="eastAsia" w:ascii="黑体" w:hAnsi="黑体" w:eastAsia="黑体" w:cs="黑体"/>
          <w:w w:val="95"/>
          <w:sz w:val="30"/>
          <w:szCs w:val="30"/>
        </w:rPr>
        <w:tab/>
      </w:r>
      <w:r>
        <w:rPr>
          <w:rFonts w:hint="eastAsia" w:ascii="黑体" w:hAnsi="黑体" w:eastAsia="黑体" w:cs="黑体"/>
          <w:w w:val="95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w w:val="95"/>
          <w:sz w:val="30"/>
          <w:szCs w:val="30"/>
        </w:rPr>
        <w:t>附则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第九条</w:t>
      </w: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0"/>
          <w:szCs w:val="30"/>
        </w:rPr>
        <w:t>量化评价标准</w:t>
      </w: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建立工程师职务任职资格量化评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标准（详见附件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并根据行业发展适时调整完善。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第十条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本评价条件涉及的工作业绩、专业学术成果等均应为任现职后或近4年取得，并与申报专业相关联，同时提供相应的佐证材料。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申报人员有下列情形之一者，取消评审资格，已通过评审的人员，由发证机关收回其工程师职务任职资格证书，并记入职称评审诚信档案库，纳入全国和省信用信息共享平台，记录期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3年：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（一）伪造、变造证件、证明等申报材料的。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（二）有违纪违法行为，仍在处理、处分、处罚阶段和任现职后有严重违纪违法行为，在申报材料中未反映的。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 xml:space="preserve">（三）有其他弄虚作假、营私舞弊行为的。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第十二条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本评价条件有关词语或概念的特定解释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>（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 xml:space="preserve">国家级科学技术奖是指国家最高科学技术奖、国家自然科学奖、国家技术发明奖、国家科学技术进步奖等。省（部）级科学技术奖是指省、自治区、直辖市、计划单列市人民政府以及国家相关部委设立的科学技术奖项；市（厅）级科学技术奖是指设区市人民政府或省级厅（局）设立的科学技术奖项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308" w:firstLineChars="100"/>
        <w:jc w:val="left"/>
        <w:textAlignment w:val="auto"/>
        <w:outlineLvl w:val="9"/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14:textFill>
            <w14:solidFill>
              <w14:schemeClr w14:val="tx1"/>
            </w14:solidFill>
          </w14:textFill>
        </w:rPr>
        <w:t>）“</w:t>
      </w:r>
      <w:r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14:textFill>
            <w14:solidFill>
              <w14:schemeClr w14:val="tx1"/>
            </w14:solidFill>
          </w14:textFill>
        </w:rPr>
        <w:t>级”指对应的市、厅、司（局）</w:t>
      </w:r>
      <w:r>
        <w:rPr>
          <w:rFonts w:hint="eastAsia" w:cs="仿宋_GB2312"/>
          <w:color w:val="000000" w:themeColor="text1"/>
          <w:spacing w:val="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县（市）级指对应的区、县、市级”。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308" w:firstLineChars="1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）获奖项目的排名以各类奖励的正式文件、证书为准。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308" w:firstLineChars="1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）“项目负责人（主持）”是科研课题或工程项目的 总体设计、论证的组织者以及项目经理；“专业负责人（为主）” 是指项目主管或专业主管，在具体项目中承担重要技术工作（以项目计划任务书或有关文件为依据）。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308" w:firstLineChars="1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）项目的难易程度的划分，由评审委员会根据国家有关规定，结合地区差异等实际情况掌握。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308" w:firstLineChars="1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）“公开发表”是指论文刊登在有国内或国际统一刊号的专业报刊上或论著、译著经出版社正式出版，无正式刊号的内部报刊以及内部印刷资料成果，均不得作为“公开发表”</w:t>
      </w:r>
      <w:r>
        <w:rPr>
          <w:rFonts w:hint="eastAsia" w:cs="仿宋_GB2312"/>
          <w:spacing w:val="4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“专业学术刊物”是指与工程相关的国内外学术刊物</w:t>
      </w:r>
      <w:r>
        <w:rPr>
          <w:rFonts w:hint="eastAsia" w:cs="仿宋_GB2312"/>
          <w:spacing w:val="4"/>
          <w:sz w:val="30"/>
          <w:szCs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308" w:firstLineChars="1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）“以上”均含本级或本数。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308" w:firstLineChars="1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）“年”均为周年。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第十三条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本评价条件自 202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年*月*日起施行。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308" w:firstLineChars="100"/>
        <w:jc w:val="both"/>
        <w:textAlignment w:val="auto"/>
        <w:rPr>
          <w:rFonts w:hint="eastAsia" w:cs="仿宋_GB2312"/>
          <w:spacing w:val="4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308" w:firstLineChars="100"/>
        <w:jc w:val="both"/>
        <w:textAlignment w:val="auto"/>
        <w:rPr>
          <w:rFonts w:hint="eastAsia" w:cs="仿宋_GB2312"/>
          <w:spacing w:val="4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308" w:firstLineChars="1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</w:pPr>
      <w:r>
        <w:rPr>
          <w:rFonts w:hint="eastAsia" w:cs="仿宋_GB2312"/>
          <w:spacing w:val="4"/>
          <w:sz w:val="30"/>
          <w:szCs w:val="30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工程师职务任职资格评审相近或相似专业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308" w:firstLineChars="1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en-US"/>
        </w:rPr>
        <w:t>附件</w:t>
      </w:r>
      <w:r>
        <w:rPr>
          <w:rFonts w:hint="eastAsia" w:cs="仿宋_GB2312"/>
          <w:spacing w:val="4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en-US"/>
        </w:rPr>
        <w:t>：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金华市工业和信息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en-US"/>
        </w:rPr>
        <w:t>工程师职务任职资格量化评价标准</w:t>
      </w:r>
    </w:p>
    <w:p>
      <w:pPr>
        <w:pStyle w:val="3"/>
        <w:spacing w:before="0" w:line="240" w:lineRule="auto"/>
        <w:ind w:left="0" w:leftChars="0" w:right="934" w:firstLine="0" w:firstLineChars="0"/>
        <w:jc w:val="left"/>
      </w:pPr>
    </w:p>
    <w:p>
      <w:pPr>
        <w:pStyle w:val="3"/>
        <w:spacing w:before="0" w:line="240" w:lineRule="auto"/>
        <w:ind w:left="0" w:leftChars="0" w:right="934" w:firstLine="0" w:firstLineChars="0"/>
        <w:jc w:val="left"/>
        <w:rPr>
          <w:spacing w:val="-87"/>
        </w:rPr>
      </w:pPr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val="en-US" w:eastAsia="zh-CN"/>
        </w:rPr>
        <w:t>件1</w:t>
      </w:r>
      <w:r>
        <w:rPr>
          <w:rFonts w:hint="eastAsia"/>
          <w:lang w:val="en-US" w:eastAsia="zh-CN"/>
        </w:rPr>
        <w:t>：</w:t>
      </w:r>
      <w:r>
        <w:rPr>
          <w:rFonts w:hint="eastAsia" w:ascii="黑体" w:hAnsi="黑体" w:eastAsia="黑体" w:cs="黑体"/>
          <w:spacing w:val="4"/>
          <w:sz w:val="30"/>
          <w:szCs w:val="30"/>
          <w:lang w:val="en-US" w:eastAsia="zh-CN"/>
        </w:rPr>
        <w:t>工程师职务任职资格评审相近或相似专业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）机电专业</w:t>
      </w:r>
      <w:r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：指</w:t>
      </w:r>
      <w:r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技术开发、设计开发、生产制造、系统集成、技术服务。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）信息专业</w:t>
      </w:r>
      <w:r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：指</w:t>
      </w:r>
      <w:r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技术开发、应用电子、信息安全、系统集成专业技术工作的技术人员。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）轻纺专业</w:t>
      </w:r>
      <w:r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：指</w:t>
      </w:r>
      <w:r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轻工工程技术人员（制浆造纸工程、皮革化学、日用化工、塑料加工，包装工程，木材加工制品、家具制造、家用电力器具,非电力家用器具、照明器具，文教、工艺美术和体育娱乐用品制造， 造纸技术、印刷技术、电池）；食品工程技术人员（农副食品加工、食品制造、酒、饮料</w:t>
      </w:r>
      <w:r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精制茶制造、烟草制品）；纺织服装工程技术人员（纺织工程、染整工程、化学纤维、针织工程、纺织化纤）。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（四）材料专业</w:t>
      </w:r>
      <w:r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：指</w:t>
      </w:r>
      <w:r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材料工程技术人员：材料工程（产品与技术开发）、材料工程（产品生产与检测）、材料工程（技术推广与服务）。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6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）能源专业</w:t>
      </w:r>
      <w:r>
        <w:rPr>
          <w:rFonts w:hint="eastAsia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：指</w:t>
      </w:r>
      <w:r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电力工程技术人员（电气系统及其自动化、输配电及用电工程、热能与动力工程、水能与动力工程、控制工程、电厂化学等）；石油天然气工程技术人员（油气储运、城市燃气、能源化工、煤化工等）；能源工程技术人员：（能源安全技术与管理、能源工程管理、能源机械工程、能源环境工程、新能源、节能与储能等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16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pacing w:val="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）石化专业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：指</w:t>
      </w:r>
      <w:r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化工工程技术人员（有机化工，无机化工，生物化工，高分子化工，材料化工，化学制药，化学工程技术，腐蚀与防腐工程，制冷低温工程，化学热力工程，化工建设管理、化学工程设计，化工技术研发，化工建设管理，化工情报信息及知识产权、化学分析、化工分析，化工质量管理与标准化，化工产业规划，化工环保技术与管理，化工安全技术与管理等）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仿宋_GB2312" w:hAnsi="仿宋_GB2312" w:eastAsia="仿宋_GB2312" w:cs="仿宋_GB2312"/>
          <w:color w:val="000000" w:themeColor="text1"/>
          <w:spacing w:val="4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石油天然气工程技术人员（石化工艺技术、石化应用开发及工程设计、石化理化检验和质量管理、石化标准化、石油炼制、总图运输等）。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金华市工业和信息</w:t>
      </w:r>
      <w:r>
        <w:rPr>
          <w:rFonts w:hint="eastAsia" w:ascii="方正小标宋简体" w:hAnsi="方正小标宋简体" w:eastAsia="方正小标宋简体" w:cs="方正小标宋简体"/>
        </w:rPr>
        <w:t>工程师职务任职资格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量化评价标准</w:t>
      </w:r>
    </w:p>
    <w:tbl>
      <w:tblPr>
        <w:tblStyle w:val="6"/>
        <w:tblW w:w="874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968"/>
        <w:gridCol w:w="1638"/>
        <w:gridCol w:w="1"/>
        <w:gridCol w:w="1638"/>
        <w:gridCol w:w="1"/>
        <w:gridCol w:w="568"/>
        <w:gridCol w:w="1043"/>
        <w:gridCol w:w="1"/>
        <w:gridCol w:w="1826"/>
        <w:gridCol w:w="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39" w:hRule="exact"/>
        </w:trPr>
        <w:tc>
          <w:tcPr>
            <w:tcW w:w="106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评价指标</w:t>
            </w:r>
          </w:p>
        </w:tc>
        <w:tc>
          <w:tcPr>
            <w:tcW w:w="9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6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最高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打分说明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22" w:hRule="exact"/>
        </w:trPr>
        <w:tc>
          <w:tcPr>
            <w:tcW w:w="1061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（一）爱 岗敬业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-1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8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个人荣誉（10分）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任现专业技术职 务以来，获劳模、 五一劳动奖章、 先进工作者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  <w:lang w:val="en-US" w:eastAsia="zh-CN"/>
              </w:rPr>
              <w:t>工匠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等荣誉称号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国家级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1827" w:type="dxa"/>
            <w:gridSpan w:val="2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96" w:firstLine="228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1"/>
                <w:szCs w:val="21"/>
              </w:rPr>
              <w:t>同类荣誉按最高等</w:t>
            </w:r>
            <w:r>
              <w:rPr>
                <w:rFonts w:hint="eastAsia" w:ascii="仿宋" w:hAnsi="仿宋" w:eastAsia="仿宋" w:cs="仿宋"/>
                <w:color w:val="auto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1"/>
                <w:szCs w:val="21"/>
              </w:rPr>
              <w:t>级计分，不同类荣</w:t>
            </w:r>
            <w:r>
              <w:rPr>
                <w:rFonts w:hint="eastAsia" w:ascii="仿宋" w:hAnsi="仿宋" w:eastAsia="仿宋" w:cs="仿宋"/>
                <w:color w:val="auto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1"/>
                <w:szCs w:val="21"/>
              </w:rPr>
              <w:t>誉累计计分；其他</w:t>
            </w:r>
            <w:r>
              <w:rPr>
                <w:rFonts w:hint="eastAsia" w:ascii="仿宋" w:hAnsi="仿宋" w:eastAsia="仿宋" w:cs="仿宋"/>
                <w:color w:val="auto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1"/>
                <w:szCs w:val="21"/>
              </w:rPr>
              <w:t>类的荣誉称号由专</w:t>
            </w:r>
            <w:r>
              <w:rPr>
                <w:rFonts w:hint="eastAsia" w:ascii="仿宋" w:hAnsi="仿宋" w:eastAsia="仿宋" w:cs="仿宋"/>
                <w:color w:val="auto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家认定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22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省、部级</w:t>
            </w:r>
          </w:p>
        </w:tc>
        <w:tc>
          <w:tcPr>
            <w:tcW w:w="5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7n</w:t>
            </w:r>
          </w:p>
        </w:tc>
        <w:tc>
          <w:tcPr>
            <w:tcW w:w="18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22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地、市级</w:t>
            </w:r>
          </w:p>
        </w:tc>
        <w:tc>
          <w:tcPr>
            <w:tcW w:w="5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5n</w:t>
            </w:r>
          </w:p>
        </w:tc>
        <w:tc>
          <w:tcPr>
            <w:tcW w:w="18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22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县、区级</w:t>
            </w:r>
          </w:p>
        </w:tc>
        <w:tc>
          <w:tcPr>
            <w:tcW w:w="5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3n</w:t>
            </w:r>
          </w:p>
        </w:tc>
        <w:tc>
          <w:tcPr>
            <w:tcW w:w="18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10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其他</w:t>
            </w:r>
          </w:p>
        </w:tc>
        <w:tc>
          <w:tcPr>
            <w:tcW w:w="5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2n</w:t>
            </w:r>
          </w:p>
        </w:tc>
        <w:tc>
          <w:tcPr>
            <w:tcW w:w="18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77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8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年度考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6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  <w:lang w:val="en-US" w:eastAsia="zh-CN"/>
              </w:rPr>
              <w:t>个人年度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 xml:space="preserve"> 考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  <w:lang w:val="en-US" w:eastAsia="zh-CN"/>
              </w:rPr>
              <w:t>核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优秀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1.5n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33"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n为考核年度优秀的次数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1061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86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（二） 技术水 平和工 作业绩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65分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05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业技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术）水平（30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327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较系统地掌握工程领域的专业</w:t>
            </w: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21"/>
                <w:szCs w:val="21"/>
              </w:rPr>
              <w:t>知识，有从事工程领域专业工作</w:t>
            </w:r>
            <w:r>
              <w:rPr>
                <w:rFonts w:hint="eastAsia" w:ascii="仿宋" w:hAnsi="仿宋" w:eastAsia="仿宋" w:cs="仿宋"/>
                <w:color w:val="auto"/>
                <w:spacing w:val="-106"/>
                <w:w w:val="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21"/>
                <w:szCs w:val="21"/>
              </w:rPr>
              <w:t>的经历，具有解决一般复杂技术问题</w:t>
            </w:r>
            <w:r>
              <w:rPr>
                <w:rFonts w:hint="eastAsia" w:ascii="仿宋" w:hAnsi="仿宋" w:eastAsia="仿宋" w:cs="仿宋"/>
                <w:color w:val="auto"/>
                <w:spacing w:val="-106"/>
                <w:w w:val="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的能力</w:t>
            </w:r>
          </w:p>
        </w:tc>
        <w:tc>
          <w:tcPr>
            <w:tcW w:w="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［1,10］</w:t>
            </w:r>
          </w:p>
        </w:tc>
        <w:tc>
          <w:tcPr>
            <w:tcW w:w="1827" w:type="dxa"/>
            <w:gridSpan w:val="2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96" w:firstLine="228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1"/>
                <w:szCs w:val="21"/>
              </w:rPr>
              <w:t>由评审专家根据提</w:t>
            </w:r>
            <w:r>
              <w:rPr>
                <w:rFonts w:hint="eastAsia" w:ascii="仿宋" w:hAnsi="仿宋" w:eastAsia="仿宋" w:cs="仿宋"/>
                <w:color w:val="auto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1"/>
                <w:szCs w:val="21"/>
              </w:rPr>
              <w:t>供评审的业绩材料</w:t>
            </w:r>
            <w:r>
              <w:rPr>
                <w:rFonts w:hint="eastAsia" w:ascii="仿宋" w:hAnsi="仿宋" w:eastAsia="仿宋" w:cs="仿宋"/>
                <w:color w:val="auto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判定打分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7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80"/>
                <w:sz w:val="21"/>
                <w:szCs w:val="21"/>
              </w:rPr>
              <w:t>能较熟练掌握相关法律法规、技术标</w:t>
            </w:r>
            <w:r>
              <w:rPr>
                <w:rFonts w:hint="eastAsia" w:ascii="仿宋" w:hAnsi="仿宋" w:eastAsia="仿宋" w:cs="仿宋"/>
                <w:color w:val="auto"/>
                <w:w w:val="80"/>
                <w:sz w:val="21"/>
                <w:szCs w:val="21"/>
              </w:rPr>
              <w:t>准和规范</w:t>
            </w:r>
          </w:p>
        </w:tc>
        <w:tc>
          <w:tcPr>
            <w:tcW w:w="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［1,10］</w:t>
            </w:r>
          </w:p>
        </w:tc>
        <w:tc>
          <w:tcPr>
            <w:tcW w:w="18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7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21"/>
                <w:szCs w:val="21"/>
              </w:rPr>
              <w:t>学习能力较强，了解与本专业工作相</w:t>
            </w:r>
            <w:r>
              <w:rPr>
                <w:rFonts w:hint="eastAsia" w:ascii="仿宋" w:hAnsi="仿宋" w:eastAsia="仿宋" w:cs="仿宋"/>
                <w:color w:val="auto"/>
                <w:spacing w:val="-106"/>
                <w:w w:val="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关的知识与专业技术发展趋势</w:t>
            </w:r>
          </w:p>
        </w:tc>
        <w:tc>
          <w:tcPr>
            <w:tcW w:w="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［1,10］</w:t>
            </w:r>
          </w:p>
        </w:tc>
        <w:tc>
          <w:tcPr>
            <w:tcW w:w="18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05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专业技术 工作业绩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（35分）</w:t>
            </w:r>
          </w:p>
        </w:tc>
        <w:tc>
          <w:tcPr>
            <w:tcW w:w="327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21"/>
                <w:szCs w:val="21"/>
              </w:rPr>
              <w:t>参与工程项目的技术开发、设计、工程建设、系统集成、设备运</w:t>
            </w:r>
            <w:r>
              <w:rPr>
                <w:rFonts w:hint="eastAsia" w:ascii="仿宋" w:hAnsi="仿宋" w:eastAsia="仿宋" w:cs="仿宋"/>
                <w:color w:val="auto"/>
                <w:spacing w:val="-107"/>
                <w:w w:val="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21"/>
                <w:szCs w:val="21"/>
              </w:rPr>
              <w:t>行维护和技术改造、技术咨询等</w:t>
            </w:r>
            <w:r>
              <w:rPr>
                <w:rFonts w:hint="eastAsia" w:ascii="仿宋" w:hAnsi="仿宋" w:eastAsia="仿宋" w:cs="仿宋"/>
                <w:color w:val="auto"/>
                <w:spacing w:val="-60"/>
                <w:w w:val="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2项以上，并达到技术要求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"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［1,10］</w:t>
            </w:r>
          </w:p>
        </w:tc>
        <w:tc>
          <w:tcPr>
            <w:tcW w:w="1827" w:type="dxa"/>
            <w:gridSpan w:val="2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96" w:firstLine="228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1"/>
                <w:szCs w:val="21"/>
              </w:rPr>
              <w:t>由评审专家根据提</w:t>
            </w:r>
            <w:r>
              <w:rPr>
                <w:rFonts w:hint="eastAsia" w:ascii="仿宋" w:hAnsi="仿宋" w:eastAsia="仿宋" w:cs="仿宋"/>
                <w:color w:val="auto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1"/>
                <w:szCs w:val="21"/>
              </w:rPr>
              <w:t>供评审的业绩材料</w:t>
            </w:r>
            <w:r>
              <w:rPr>
                <w:rFonts w:hint="eastAsia" w:ascii="仿宋" w:hAnsi="仿宋" w:eastAsia="仿宋" w:cs="仿宋"/>
                <w:color w:val="auto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判定打分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7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21"/>
                <w:szCs w:val="21"/>
              </w:rPr>
              <w:t>获得省级以上首台（套）产品或省级政府部门认定、并具有经济效益的省</w:t>
            </w:r>
            <w:r>
              <w:rPr>
                <w:rFonts w:hint="eastAsia" w:ascii="仿宋" w:hAnsi="仿宋" w:eastAsia="仿宋" w:cs="仿宋"/>
                <w:color w:val="auto"/>
                <w:spacing w:val="-106"/>
                <w:w w:val="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级新产品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省部级以上科技奖三等奖以上；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世界技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能大赛优胜奖获得者、省技术能手、省级技能大师工作室领办人、浙江工匠、省“百千万”高技能领</w:t>
            </w: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军人 才培养工程入选的“拔尖技能人才”。</w:t>
            </w:r>
          </w:p>
        </w:tc>
        <w:tc>
          <w:tcPr>
            <w:tcW w:w="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］</w:t>
            </w:r>
          </w:p>
        </w:tc>
        <w:tc>
          <w:tcPr>
            <w:tcW w:w="18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7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  <w:lang w:val="en-US" w:eastAsia="zh-CN"/>
              </w:rPr>
              <w:t>参与市级以上企业数字化车间、智能工厂、未来工厂、绿色工厂等建设工作</w:t>
            </w:r>
          </w:p>
        </w:tc>
        <w:tc>
          <w:tcPr>
            <w:tcW w:w="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051" w:hRule="exact"/>
        </w:trPr>
        <w:tc>
          <w:tcPr>
            <w:tcW w:w="106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98" w:right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sz w:val="21"/>
                <w:szCs w:val="21"/>
              </w:rPr>
              <w:t>（三）专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业技术 经历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水平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-18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（25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（5分）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学历学位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96" w:firstLine="207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0"/>
                <w:sz w:val="21"/>
                <w:szCs w:val="21"/>
              </w:rPr>
              <w:t>相应研究生学历或硕士学位从事专业</w:t>
            </w:r>
            <w:r>
              <w:rPr>
                <w:rFonts w:hint="eastAsia" w:ascii="仿宋" w:hAnsi="仿宋" w:eastAsia="仿宋" w:cs="仿宋"/>
                <w:color w:val="auto"/>
                <w:spacing w:val="-118"/>
                <w:w w:val="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工作满</w:t>
            </w:r>
            <w:r>
              <w:rPr>
                <w:rFonts w:hint="eastAsia" w:ascii="仿宋" w:hAnsi="仿宋" w:eastAsia="仿宋" w:cs="仿宋"/>
                <w:color w:val="auto"/>
                <w:spacing w:val="-60"/>
                <w:w w:val="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3 年，</w:t>
            </w:r>
            <w:r>
              <w:rPr>
                <w:rFonts w:hint="eastAsia" w:ascii="仿宋" w:hAnsi="仿宋" w:eastAsia="仿宋" w:cs="仿宋"/>
                <w:color w:val="auto"/>
                <w:spacing w:val="-118"/>
                <w:w w:val="9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初定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37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4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14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资历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（20分）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专业工作年限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（12分）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1"/>
                <w:szCs w:val="21"/>
                <w:lang w:val="en-US" w:eastAsia="zh-CN"/>
              </w:rPr>
              <w:t>或相近专业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n</w:t>
            </w:r>
          </w:p>
        </w:tc>
        <w:tc>
          <w:tcPr>
            <w:tcW w:w="1827" w:type="dxa"/>
            <w:gridSpan w:val="2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3" w:right="0"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n为工作年限</w:t>
            </w:r>
            <w:r>
              <w:rPr>
                <w:rFonts w:hint="eastAsia" w:ascii="仿宋" w:hAnsi="仿宋" w:eastAsia="仿宋" w:cs="仿宋"/>
                <w:color w:val="auto"/>
                <w:spacing w:val="-104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可累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计计分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99" w:hRule="exac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56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0.5n</w:t>
            </w:r>
          </w:p>
        </w:tc>
        <w:tc>
          <w:tcPr>
            <w:tcW w:w="1827" w:type="dxa"/>
            <w:gridSpan w:val="2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54" w:hRule="atLeas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技术职务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（8分）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单位技术负责人</w:t>
            </w:r>
          </w:p>
        </w:tc>
        <w:tc>
          <w:tcPr>
            <w:tcW w:w="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88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827" w:type="dxa"/>
            <w:gridSpan w:val="2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34" w:hRule="atLeas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部门技术负责人</w:t>
            </w:r>
          </w:p>
        </w:tc>
        <w:tc>
          <w:tcPr>
            <w:tcW w:w="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88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827" w:type="dxa"/>
            <w:gridSpan w:val="2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8" w:hRule="atLeas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项目负责人</w:t>
            </w:r>
          </w:p>
        </w:tc>
        <w:tc>
          <w:tcPr>
            <w:tcW w:w="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88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827" w:type="dxa"/>
            <w:gridSpan w:val="2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74" w:hRule="atLeast"/>
        </w:trPr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288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7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3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tblpX="10431" w:tblpY="-8444"/>
        <w:tblOverlap w:val="never"/>
        <w:tblW w:w="1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1" w:type="dxa"/>
          </w:tcPr>
          <w:p>
            <w:pPr>
              <w:spacing w:after="0" w:line="296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431" w:tblpY="-6419"/>
        <w:tblOverlap w:val="never"/>
        <w:tblW w:w="2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41" w:type="dxa"/>
          </w:tcPr>
          <w:p>
            <w:pPr>
              <w:spacing w:after="0" w:line="296" w:lineRule="exact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</w:rPr>
            </w:pPr>
          </w:p>
        </w:tc>
      </w:tr>
    </w:tbl>
    <w:p>
      <w:pPr>
        <w:spacing w:after="0" w:line="296" w:lineRule="exact"/>
        <w:jc w:val="center"/>
        <w:rPr>
          <w:rFonts w:hint="eastAsia" w:ascii="仿宋" w:hAnsi="仿宋" w:eastAsia="仿宋" w:cs="仿宋"/>
          <w:sz w:val="21"/>
          <w:szCs w:val="21"/>
        </w:rPr>
        <w:sectPr>
          <w:footerReference r:id="rId3" w:type="default"/>
          <w:pgSz w:w="11910" w:h="16840"/>
          <w:pgMar w:top="1440" w:right="1587" w:bottom="1440" w:left="1587" w:header="0" w:footer="1383" w:gutter="0"/>
          <w:cols w:space="0" w:num="1"/>
          <w:rtlGutter w:val="0"/>
          <w:docGrid w:linePitch="0" w:charSpace="0"/>
        </w:sectPr>
      </w:pPr>
    </w:p>
    <w:p>
      <w:pPr>
        <w:spacing w:before="9" w:line="240" w:lineRule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6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952"/>
        <w:gridCol w:w="1638"/>
        <w:gridCol w:w="1559"/>
        <w:gridCol w:w="586"/>
        <w:gridCol w:w="1059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exact"/>
          <w:jc w:val="center"/>
        </w:trPr>
        <w:tc>
          <w:tcPr>
            <w:tcW w:w="10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评价指标</w:t>
            </w:r>
          </w:p>
        </w:tc>
        <w:tc>
          <w:tcPr>
            <w:tcW w:w="9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6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三级指标</w:t>
            </w:r>
          </w:p>
        </w:tc>
        <w:tc>
          <w:tcPr>
            <w:tcW w:w="58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最高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打分说明</w:t>
            </w:r>
          </w:p>
        </w:tc>
        <w:tc>
          <w:tcPr>
            <w:tcW w:w="18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104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8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（四） 奖励与 成果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分）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科研项目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4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（15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分）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49" w:right="148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省、部级以上 科研项目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前五</w:t>
            </w:r>
          </w:p>
        </w:tc>
        <w:tc>
          <w:tcPr>
            <w:tcW w:w="58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96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为经专家认定项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目数。不同项目分</w:t>
            </w:r>
            <w:r>
              <w:rPr>
                <w:rFonts w:hint="eastAsia" w:ascii="仿宋" w:hAnsi="仿宋" w:eastAsia="仿宋" w:cs="仿宋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数可以累计计分，</w:t>
            </w:r>
            <w:r>
              <w:rPr>
                <w:rFonts w:hint="eastAsia" w:ascii="仿宋" w:hAnsi="仿宋" w:eastAsia="仿宋" w:cs="仿宋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同一项目分获不同</w:t>
            </w:r>
            <w:r>
              <w:rPr>
                <w:rFonts w:hint="eastAsia" w:ascii="仿宋" w:hAnsi="仿宋" w:eastAsia="仿宋" w:cs="仿宋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层级支持的，以最</w:t>
            </w:r>
            <w:r>
              <w:rPr>
                <w:rFonts w:hint="eastAsia" w:ascii="仿宋" w:hAnsi="仿宋" w:eastAsia="仿宋" w:cs="仿宋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高级别计分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参与者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10n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48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市级科研项目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10n</w:t>
            </w:r>
          </w:p>
        </w:tc>
        <w:tc>
          <w:tcPr>
            <w:tcW w:w="1837" w:type="dxa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2" w:right="96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名至第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6n</w:t>
            </w:r>
          </w:p>
        </w:tc>
        <w:tc>
          <w:tcPr>
            <w:tcW w:w="18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名后（含）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3n</w:t>
            </w:r>
          </w:p>
        </w:tc>
        <w:tc>
          <w:tcPr>
            <w:tcW w:w="18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48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研项目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1名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6n</w:t>
            </w:r>
          </w:p>
        </w:tc>
        <w:tc>
          <w:tcPr>
            <w:tcW w:w="18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2至第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 名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4n</w:t>
            </w:r>
          </w:p>
        </w:tc>
        <w:tc>
          <w:tcPr>
            <w:tcW w:w="18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6名后（含）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2n</w:t>
            </w:r>
          </w:p>
        </w:tc>
        <w:tc>
          <w:tcPr>
            <w:tcW w:w="18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本企业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科研项目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1名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4n</w:t>
            </w:r>
          </w:p>
        </w:tc>
        <w:tc>
          <w:tcPr>
            <w:tcW w:w="18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2至第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 名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2n</w:t>
            </w:r>
          </w:p>
        </w:tc>
        <w:tc>
          <w:tcPr>
            <w:tcW w:w="18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6名后（含）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</w:p>
        </w:tc>
        <w:tc>
          <w:tcPr>
            <w:tcW w:w="18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科技成果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4" w:right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（15分）</w:t>
            </w:r>
          </w:p>
        </w:tc>
        <w:tc>
          <w:tcPr>
            <w:tcW w:w="16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省（部）级以上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科学技术奖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获奖者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96" w:rightChars="0"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为经专家认定项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目数。不同奖项分</w:t>
            </w:r>
            <w:r>
              <w:rPr>
                <w:rFonts w:hint="eastAsia" w:ascii="仿宋" w:hAnsi="仿宋" w:eastAsia="仿宋" w:cs="仿宋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数可累计计分，同</w:t>
            </w:r>
            <w:r>
              <w:rPr>
                <w:rFonts w:hint="eastAsia" w:ascii="仿宋" w:hAnsi="仿宋" w:eastAsia="仿宋" w:cs="仿宋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一项目分获不同层</w:t>
            </w:r>
            <w:r>
              <w:rPr>
                <w:rFonts w:hint="eastAsia" w:ascii="仿宋" w:hAnsi="仿宋" w:eastAsia="仿宋" w:cs="仿宋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级奖项的，以最高</w:t>
            </w:r>
            <w:r>
              <w:rPr>
                <w:rFonts w:hint="eastAsia" w:ascii="仿宋" w:hAnsi="仿宋" w:eastAsia="仿宋" w:cs="仿宋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级别计分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国家级行业协会（学会）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获奖者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18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  <w:jc w:val="center"/>
        </w:trPr>
        <w:tc>
          <w:tcPr>
            <w:tcW w:w="1049" w:type="dxa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市（厅）级科学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技术奖（或省级协会））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37" w:type="dxa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1049" w:type="dxa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8n</w:t>
            </w:r>
          </w:p>
        </w:tc>
        <w:tc>
          <w:tcPr>
            <w:tcW w:w="1837" w:type="dxa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  <w:jc w:val="center"/>
        </w:trPr>
        <w:tc>
          <w:tcPr>
            <w:tcW w:w="1049" w:type="dxa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5n</w:t>
            </w:r>
          </w:p>
        </w:tc>
        <w:tc>
          <w:tcPr>
            <w:tcW w:w="1837" w:type="dxa"/>
            <w:vMerge w:val="continue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sectPr>
          <w:pgSz w:w="11910" w:h="16840"/>
          <w:pgMar w:top="1440" w:right="1587" w:bottom="1440" w:left="1587" w:header="0" w:footer="1383" w:gutter="0"/>
          <w:cols w:space="0" w:num="1"/>
          <w:rtlGutter w:val="0"/>
          <w:docGrid w:linePitch="0" w:charSpace="0"/>
        </w:sectPr>
      </w:pPr>
    </w:p>
    <w:p>
      <w:pPr>
        <w:spacing w:before="9" w:line="240" w:lineRule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6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061"/>
        <w:gridCol w:w="1475"/>
        <w:gridCol w:w="1587"/>
        <w:gridCol w:w="567"/>
        <w:gridCol w:w="1018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8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评价指标</w:t>
            </w:r>
          </w:p>
        </w:tc>
        <w:tc>
          <w:tcPr>
            <w:tcW w:w="106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8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4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三级指标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8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最高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8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打分说明</w:t>
            </w:r>
          </w:p>
        </w:tc>
        <w:tc>
          <w:tcPr>
            <w:tcW w:w="17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（四） 奖励与 成果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分）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标准制定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4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（10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分）</w:t>
            </w:r>
          </w:p>
        </w:tc>
        <w:tc>
          <w:tcPr>
            <w:tcW w:w="14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国际标准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参与者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228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96"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4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国家标准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参与者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96"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为已发布实施的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标准。不同标准可</w:t>
            </w:r>
            <w:r>
              <w:rPr>
                <w:rFonts w:hint="eastAsia" w:ascii="仿宋" w:hAnsi="仿宋" w:eastAsia="仿宋" w:cs="仿宋"/>
                <w:spacing w:val="-11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以累计计分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行业、地方标准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参与者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8n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团体标准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参与制订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标准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已备案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为主制定（前3含）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参与制订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专利或软</w:t>
            </w:r>
            <w:r>
              <w:rPr>
                <w:rFonts w:hint="eastAsia" w:ascii="仿宋" w:hAnsi="仿宋" w:eastAsia="仿宋" w:cs="仿宋"/>
                <w:spacing w:val="-11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件著作权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4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（10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分）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发明专利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第1名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96"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为经专家认定的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2名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3名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4名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5名后（含）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实用新型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外观设计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专利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1名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2名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3名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4名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5名后（含）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软件著作权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1名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2n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为经专家认定的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软件著作数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2名后（含）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108" w:right="105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论文或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一线工人技术总结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（10 分）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论文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1作者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96"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为经专家认定的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论文数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2名后（含）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1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  <w:jc w:val="center"/>
        </w:trPr>
        <w:tc>
          <w:tcPr>
            <w:tcW w:w="8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一线工人技术总结</w:t>
            </w:r>
          </w:p>
        </w:tc>
        <w:tc>
          <w:tcPr>
            <w:tcW w:w="1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1，8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21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车间工作者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exact"/>
          <w:jc w:val="center"/>
        </w:trPr>
        <w:tc>
          <w:tcPr>
            <w:tcW w:w="8360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98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备注：评价指标和各级指标有最高得分值，某项得分超过指标所设定的最高分，按照最高分计算该项得分。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9661525</wp:posOffset>
              </wp:positionV>
              <wp:extent cx="164465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0.75pt;height:11pt;width:12.95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RJ3vT1wAAAAkBAAAP&#10;AAAAAAAAAAEAIAAAACIAAABkcnMvZG93bnJldi54bWxQSwECFAAUAAAACACHTuJAqY8YcKcBAAAs&#10;AwAADgAAAAAAAAABACAAAAAm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2390E"/>
    <w:rsid w:val="0472390E"/>
    <w:rsid w:val="1806328D"/>
    <w:rsid w:val="18BA3BDF"/>
    <w:rsid w:val="1F434692"/>
    <w:rsid w:val="2A4B5E10"/>
    <w:rsid w:val="33CD3C75"/>
    <w:rsid w:val="74F2482D"/>
    <w:rsid w:val="782C01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39"/>
      <w:ind w:left="1392"/>
      <w:outlineLvl w:val="1"/>
    </w:pPr>
    <w:rPr>
      <w:rFonts w:ascii="宋体" w:hAnsi="宋体" w:eastAsia="宋体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3"/>
      <w:ind w:left="108"/>
    </w:pPr>
    <w:rPr>
      <w:rFonts w:ascii="仿宋_GB2312" w:hAnsi="仿宋_GB2312" w:eastAsia="仿宋_GB2312"/>
      <w:sz w:val="32"/>
      <w:szCs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市经信委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2024-04-09T09:13:00Z</dcterms:created>
  <dc:creator>邵依群</dc:creator>
  <cp:lastModifiedBy>张洪亮</cp:lastModifiedBy>
  <dcterms:modified xsi:type="dcterms:W3CDTF">2024-04-11T07:36:28Z</dcterms:modified>
  <dc:title>关于征求《金华市工业和信息工程专业工程师职务任职资格评价条件（试行）（征求意见稿）》公开征求意见的公告_x000B_    根据国家和浙江省职称评审管理实施办法（浙人社发〔2020〕47号）的有关文件精神，我局起草了金华市工程技术人员中级职务任职资格评价条件（试行）（《征求意见稿）》，征求意见时间：2024年4月10日-2024年5月10日，请在有效时间内通过以下途径和方式提出意见：_x000B_1.登陆金华市经济和信息化局门户网站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