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仿宋" w:eastAsia="方正小标宋_GBK"/>
          <w:b/>
          <w:sz w:val="44"/>
          <w:szCs w:val="44"/>
        </w:rPr>
      </w:pPr>
      <w:r>
        <w:rPr>
          <w:rFonts w:hint="eastAsia" w:ascii="方正小标宋_GBK" w:hAnsi="仿宋" w:eastAsia="方正小标宋_GBK"/>
          <w:b/>
          <w:sz w:val="44"/>
          <w:szCs w:val="44"/>
        </w:rPr>
        <w:t>关于促进3岁以下婴幼儿照护服务高质量发展的实施意见（2023-2027）</w:t>
      </w:r>
    </w:p>
    <w:p>
      <w:pPr>
        <w:widowControl/>
        <w:shd w:val="clear" w:color="auto" w:fill="FFFFFF"/>
        <w:spacing w:before="156" w:beforeLines="50" w:after="156" w:afterLines="50" w:line="550" w:lineRule="exact"/>
        <w:jc w:val="center"/>
        <w:rPr>
          <w:rFonts w:ascii="楷体" w:hAnsi="楷体" w:eastAsia="楷体"/>
          <w:sz w:val="32"/>
          <w:szCs w:val="32"/>
        </w:rPr>
      </w:pPr>
      <w:r>
        <w:rPr>
          <w:rFonts w:hint="eastAsia" w:ascii="楷体" w:hAnsi="楷体" w:eastAsia="楷体"/>
          <w:sz w:val="32"/>
          <w:szCs w:val="32"/>
        </w:rPr>
        <w:t>（会签稿）</w:t>
      </w:r>
    </w:p>
    <w:p>
      <w:pPr>
        <w:widowControl/>
        <w:shd w:val="clear" w:color="auto" w:fill="FFFFFF"/>
        <w:spacing w:line="550" w:lineRule="exact"/>
        <w:ind w:firstLine="645"/>
        <w:rPr>
          <w:rFonts w:ascii="仿宋" w:hAnsi="仿宋" w:eastAsia="仿宋"/>
          <w:sz w:val="32"/>
          <w:szCs w:val="32"/>
        </w:rPr>
      </w:pPr>
      <w:r>
        <w:rPr>
          <w:rFonts w:hint="eastAsia" w:ascii="仿宋" w:hAnsi="仿宋" w:eastAsia="仿宋"/>
          <w:sz w:val="32"/>
          <w:szCs w:val="32"/>
        </w:rPr>
        <w:t>为贯彻落实省政府办公厅《关于加快推进3岁以下婴幼儿照护服务发展的实施意见》（浙政办发〔2019〕64号）、绍兴市人民政府《绍兴市“一老一小”整体解决方案》（绍政发〔2022〕23</w:t>
      </w:r>
      <w:r>
        <w:rPr>
          <w:rFonts w:ascii="仿宋" w:hAnsi="仿宋" w:eastAsia="仿宋"/>
          <w:sz w:val="32"/>
          <w:szCs w:val="32"/>
        </w:rPr>
        <w:t>号</w:t>
      </w:r>
      <w:r>
        <w:rPr>
          <w:rFonts w:hint="eastAsia" w:ascii="仿宋" w:hAnsi="仿宋" w:eastAsia="仿宋"/>
          <w:sz w:val="32"/>
          <w:szCs w:val="32"/>
        </w:rPr>
        <w:t>）和上级相关系列配套政策精神，现就促进3岁以下婴幼儿照护服务高质量发展提出如下实施意见。</w:t>
      </w:r>
    </w:p>
    <w:p>
      <w:pPr>
        <w:spacing w:line="550" w:lineRule="exact"/>
        <w:ind w:firstLine="643" w:firstLineChars="200"/>
        <w:rPr>
          <w:rFonts w:ascii="黑体" w:hAnsi="黑体" w:eastAsia="黑体"/>
          <w:b/>
          <w:sz w:val="32"/>
          <w:szCs w:val="32"/>
        </w:rPr>
      </w:pPr>
      <w:r>
        <w:rPr>
          <w:rFonts w:hint="eastAsia" w:ascii="黑体" w:hAnsi="黑体" w:eastAsia="黑体"/>
          <w:b/>
          <w:sz w:val="32"/>
          <w:szCs w:val="32"/>
        </w:rPr>
        <w:t>一、总体要求</w:t>
      </w:r>
    </w:p>
    <w:p>
      <w:pPr>
        <w:spacing w:line="550" w:lineRule="exact"/>
        <w:ind w:firstLine="643" w:firstLineChars="200"/>
        <w:rPr>
          <w:rFonts w:ascii="仿宋" w:hAnsi="仿宋" w:eastAsia="仿宋" w:cs="仿宋_GB2312"/>
          <w:sz w:val="32"/>
          <w:szCs w:val="32"/>
        </w:rPr>
      </w:pPr>
      <w:r>
        <w:rPr>
          <w:rFonts w:hint="eastAsia" w:ascii="楷体_GB2312" w:hAnsi="仿宋" w:eastAsia="楷体_GB2312" w:cs="仿宋_GB2312"/>
          <w:b/>
          <w:sz w:val="32"/>
          <w:szCs w:val="32"/>
        </w:rPr>
        <w:t>（一）指导思想。</w:t>
      </w:r>
      <w:r>
        <w:rPr>
          <w:rFonts w:hint="eastAsia" w:ascii="仿宋" w:hAnsi="仿宋" w:eastAsia="仿宋" w:cs="仿宋_GB2312"/>
          <w:sz w:val="32"/>
          <w:szCs w:val="32"/>
        </w:rPr>
        <w:t>以习近平新时代中国特色社会主义思想为指导，深入贯彻党的二十大</w:t>
      </w:r>
      <w:r>
        <w:rPr>
          <w:rFonts w:hint="eastAsia" w:ascii="仿宋" w:hAnsi="仿宋" w:eastAsia="仿宋" w:cs="仿宋_GB2312"/>
          <w:sz w:val="32"/>
          <w:szCs w:val="32"/>
          <w:lang w:eastAsia="zh-CN"/>
        </w:rPr>
        <w:t>精神</w:t>
      </w:r>
      <w:r>
        <w:rPr>
          <w:rFonts w:hint="eastAsia" w:ascii="仿宋" w:hAnsi="仿宋" w:eastAsia="仿宋" w:cs="仿宋_GB2312"/>
          <w:sz w:val="32"/>
          <w:szCs w:val="32"/>
        </w:rPr>
        <w:t>和省市区各级党代会精神，坚持政府引导、家庭为主、多方参与、分类指导的原则，构建家庭照护、社区统筹、社会兴办、单位自建、幼托一体等多样化、多层次的服务模式，建立健全婴幼儿照护服务工作管理体制和运行机制，推进婴幼儿照护服务高质量发展。</w:t>
      </w:r>
    </w:p>
    <w:p>
      <w:pPr>
        <w:spacing w:line="550" w:lineRule="exact"/>
        <w:ind w:firstLine="643" w:firstLineChars="200"/>
        <w:rPr>
          <w:rFonts w:ascii="仿宋" w:hAnsi="仿宋" w:eastAsia="仿宋" w:cs="仿宋_GB2312"/>
          <w:sz w:val="32"/>
          <w:szCs w:val="32"/>
        </w:rPr>
      </w:pPr>
      <w:r>
        <w:rPr>
          <w:rFonts w:hint="eastAsia" w:ascii="楷体_GB2312" w:hAnsi="仿宋" w:eastAsia="楷体_GB2312" w:cs="仿宋_GB2312"/>
          <w:b/>
          <w:sz w:val="32"/>
          <w:szCs w:val="32"/>
        </w:rPr>
        <w:t>（二）主要目标。</w:t>
      </w:r>
      <w:r>
        <w:rPr>
          <w:rFonts w:hint="eastAsia" w:ascii="仿宋" w:hAnsi="仿宋" w:eastAsia="仿宋" w:cs="仿宋_GB2312"/>
          <w:sz w:val="32"/>
          <w:szCs w:val="32"/>
        </w:rPr>
        <w:t>到2025年，托育服务的政策保障、标准规范，人才培养、监督管理和普惠托育等五大体系基本健全，供给能力和服务质量明显提升，全区每千人拥有3岁以下婴幼儿托位数达到4.6个，普惠托位占比达到60%以上，中心建成投用区级托育综合服务中心，2万人口以上乡镇街道实现“医防护”儿童健康管理全覆盖，乡镇</w:t>
      </w:r>
      <w:r>
        <w:rPr>
          <w:rFonts w:hint="eastAsia" w:ascii="仿宋" w:hAnsi="仿宋" w:eastAsia="仿宋" w:cs="仿宋_GB2312"/>
          <w:sz w:val="32"/>
          <w:szCs w:val="32"/>
          <w:lang w:eastAsia="zh-CN"/>
        </w:rPr>
        <w:t>（</w:t>
      </w:r>
      <w:r>
        <w:rPr>
          <w:rFonts w:hint="eastAsia" w:ascii="仿宋" w:hAnsi="仿宋" w:eastAsia="仿宋" w:cs="仿宋_GB2312"/>
          <w:sz w:val="32"/>
          <w:szCs w:val="32"/>
        </w:rPr>
        <w:t>街道</w:t>
      </w:r>
      <w:r>
        <w:rPr>
          <w:rFonts w:hint="eastAsia" w:ascii="仿宋" w:hAnsi="仿宋" w:eastAsia="仿宋" w:cs="仿宋_GB2312"/>
          <w:sz w:val="32"/>
          <w:szCs w:val="32"/>
          <w:lang w:eastAsia="zh-CN"/>
        </w:rPr>
        <w:t>）</w:t>
      </w:r>
      <w:r>
        <w:rPr>
          <w:rFonts w:hint="eastAsia" w:ascii="仿宋" w:hAnsi="仿宋" w:eastAsia="仿宋" w:cs="仿宋_GB2312"/>
          <w:sz w:val="32"/>
          <w:szCs w:val="32"/>
        </w:rPr>
        <w:t>新建、改建居住区和未来社区、现代社区托育机构（驿站）覆盖率达到100%，城乡社区“15分钟托育服务圈”基本形成。</w:t>
      </w:r>
    </w:p>
    <w:p>
      <w:pPr>
        <w:pStyle w:val="5"/>
        <w:widowControl/>
        <w:spacing w:beforeAutospacing="0" w:afterAutospacing="0" w:line="550" w:lineRule="exact"/>
        <w:rPr>
          <w:rFonts w:ascii="仿宋" w:hAnsi="仿宋" w:eastAsia="仿宋" w:cs="仿宋_GB2312"/>
          <w:kern w:val="2"/>
          <w:sz w:val="32"/>
          <w:szCs w:val="32"/>
        </w:rPr>
      </w:pPr>
      <w:r>
        <w:rPr>
          <w:rFonts w:hint="eastAsia" w:ascii="仿宋" w:hAnsi="仿宋" w:eastAsia="仿宋" w:cs="仿宋_GB2312"/>
          <w:kern w:val="2"/>
          <w:sz w:val="32"/>
          <w:szCs w:val="32"/>
        </w:rPr>
        <w:t xml:space="preserve">    到2027年，3岁以下婴幼儿照护服务体系全面建成，全区每千人拥有3岁以下婴幼儿托位数达到5.5个，普惠托位占比达到70%以上，全区乡镇</w:t>
      </w:r>
      <w:r>
        <w:rPr>
          <w:rFonts w:hint="eastAsia" w:ascii="仿宋" w:hAnsi="仿宋" w:eastAsia="仿宋" w:cs="仿宋_GB2312"/>
          <w:kern w:val="2"/>
          <w:sz w:val="32"/>
          <w:szCs w:val="32"/>
          <w:lang w:eastAsia="zh-CN"/>
        </w:rPr>
        <w:t>（</w:t>
      </w:r>
      <w:r>
        <w:rPr>
          <w:rFonts w:hint="eastAsia" w:ascii="仿宋" w:hAnsi="仿宋" w:eastAsia="仿宋" w:cs="仿宋_GB2312"/>
          <w:kern w:val="2"/>
          <w:sz w:val="32"/>
          <w:szCs w:val="32"/>
        </w:rPr>
        <w:t>街道</w:t>
      </w:r>
      <w:r>
        <w:rPr>
          <w:rFonts w:hint="eastAsia" w:ascii="仿宋" w:hAnsi="仿宋" w:eastAsia="仿宋" w:cs="仿宋_GB2312"/>
          <w:kern w:val="2"/>
          <w:sz w:val="32"/>
          <w:szCs w:val="32"/>
          <w:lang w:eastAsia="zh-CN"/>
        </w:rPr>
        <w:t>）</w:t>
      </w:r>
      <w:bookmarkStart w:id="0" w:name="_GoBack"/>
      <w:bookmarkEnd w:id="0"/>
      <w:r>
        <w:rPr>
          <w:rFonts w:hint="eastAsia" w:ascii="仿宋" w:hAnsi="仿宋" w:eastAsia="仿宋" w:cs="仿宋_GB2312"/>
          <w:kern w:val="2"/>
          <w:sz w:val="32"/>
          <w:szCs w:val="32"/>
        </w:rPr>
        <w:t>实现“医防护”儿童健康管理中心全覆盖，婴幼儿健康管理率达到95%以上，托育机构从业人员持证率达到90%以上。</w:t>
      </w:r>
    </w:p>
    <w:p>
      <w:pPr>
        <w:spacing w:line="550" w:lineRule="exact"/>
        <w:ind w:firstLine="643" w:firstLineChars="200"/>
        <w:rPr>
          <w:rFonts w:ascii="仿宋" w:hAnsi="仿宋" w:eastAsia="仿宋" w:cs="仿宋_GB2312"/>
          <w:sz w:val="32"/>
          <w:szCs w:val="32"/>
        </w:rPr>
      </w:pPr>
      <w:r>
        <w:rPr>
          <w:rFonts w:hint="eastAsia" w:ascii="楷体_GB2312" w:hAnsi="仿宋" w:eastAsia="楷体_GB2312" w:cs="仿宋_GB2312"/>
          <w:b/>
          <w:sz w:val="32"/>
          <w:szCs w:val="32"/>
        </w:rPr>
        <w:t>（三）坚持原则。</w:t>
      </w:r>
      <w:r>
        <w:rPr>
          <w:rFonts w:hint="eastAsia" w:ascii="仿宋" w:hAnsi="仿宋" w:eastAsia="仿宋" w:cs="仿宋_GB2312"/>
          <w:sz w:val="32"/>
          <w:szCs w:val="32"/>
        </w:rPr>
        <w:t>具体坚持以下原则：</w:t>
      </w:r>
    </w:p>
    <w:p>
      <w:pPr>
        <w:spacing w:line="550" w:lineRule="exact"/>
        <w:ind w:firstLine="645"/>
        <w:rPr>
          <w:rFonts w:ascii="仿宋" w:hAnsi="仿宋" w:eastAsia="仿宋" w:cs="仿宋_GB2312"/>
          <w:sz w:val="32"/>
          <w:szCs w:val="32"/>
        </w:rPr>
      </w:pPr>
      <w:r>
        <w:rPr>
          <w:rFonts w:hint="eastAsia" w:ascii="仿宋" w:hAnsi="仿宋" w:eastAsia="仿宋" w:cs="仿宋_GB2312"/>
          <w:b/>
          <w:sz w:val="32"/>
          <w:szCs w:val="32"/>
        </w:rPr>
        <w:t>1.</w:t>
      </w:r>
      <w:r>
        <w:rPr>
          <w:rFonts w:ascii="仿宋" w:hAnsi="仿宋" w:eastAsia="仿宋" w:cs="仿宋_GB2312"/>
          <w:b/>
          <w:sz w:val="32"/>
          <w:szCs w:val="32"/>
        </w:rPr>
        <w:t>政策引导，多元参与。</w:t>
      </w:r>
      <w:r>
        <w:rPr>
          <w:rFonts w:ascii="仿宋" w:hAnsi="仿宋" w:eastAsia="仿宋" w:cs="仿宋_GB2312"/>
          <w:sz w:val="32"/>
          <w:szCs w:val="32"/>
        </w:rPr>
        <w:t>加强政策引导和统筹协调，充分发挥市场的资源配置作用、社区家庭的基础作用</w:t>
      </w:r>
      <w:r>
        <w:rPr>
          <w:rFonts w:hint="eastAsia" w:ascii="仿宋" w:hAnsi="仿宋" w:eastAsia="仿宋" w:cs="仿宋_GB2312"/>
          <w:sz w:val="32"/>
          <w:szCs w:val="32"/>
        </w:rPr>
        <w:t>和</w:t>
      </w:r>
      <w:r>
        <w:rPr>
          <w:rFonts w:ascii="仿宋" w:hAnsi="仿宋" w:eastAsia="仿宋" w:cs="仿宋_GB2312"/>
          <w:sz w:val="32"/>
          <w:szCs w:val="32"/>
        </w:rPr>
        <w:t>社会单位等多方力量的支撑作用，形成多元参与托育服务发展格局，推动托育服务高质量发展。</w:t>
      </w:r>
    </w:p>
    <w:p>
      <w:pPr>
        <w:spacing w:line="550" w:lineRule="exact"/>
        <w:ind w:firstLine="645"/>
        <w:rPr>
          <w:rFonts w:ascii="仿宋" w:hAnsi="仿宋" w:eastAsia="仿宋" w:cs="仿宋_GB2312"/>
          <w:sz w:val="32"/>
          <w:szCs w:val="32"/>
        </w:rPr>
      </w:pPr>
      <w:r>
        <w:rPr>
          <w:rFonts w:hint="eastAsia" w:ascii="仿宋" w:hAnsi="仿宋" w:eastAsia="仿宋" w:cs="仿宋_GB2312"/>
          <w:b/>
          <w:sz w:val="32"/>
          <w:szCs w:val="32"/>
        </w:rPr>
        <w:t>2.</w:t>
      </w:r>
      <w:r>
        <w:rPr>
          <w:rFonts w:ascii="仿宋" w:hAnsi="仿宋" w:eastAsia="仿宋" w:cs="仿宋_GB2312"/>
          <w:b/>
          <w:sz w:val="32"/>
          <w:szCs w:val="32"/>
        </w:rPr>
        <w:t>普惠优先，提质增效。</w:t>
      </w:r>
      <w:r>
        <w:rPr>
          <w:rFonts w:ascii="仿宋" w:hAnsi="仿宋" w:eastAsia="仿宋" w:cs="仿宋_GB2312"/>
          <w:sz w:val="32"/>
          <w:szCs w:val="32"/>
        </w:rPr>
        <w:t>大力发展普惠托育服务，充分调动社会等多方力量积极性，为婴幼儿家庭提供优质、便捷、普惠的托育服务。推动托育服务扩容提质增效，提升托育服务发展的整体性、均衡性和协调性。</w:t>
      </w:r>
    </w:p>
    <w:p>
      <w:pPr>
        <w:spacing w:line="550" w:lineRule="exact"/>
        <w:ind w:firstLine="645"/>
        <w:rPr>
          <w:rFonts w:ascii="仿宋" w:hAnsi="仿宋" w:eastAsia="仿宋" w:cs="仿宋_GB2312"/>
          <w:sz w:val="32"/>
          <w:szCs w:val="32"/>
        </w:rPr>
      </w:pPr>
      <w:r>
        <w:rPr>
          <w:rFonts w:hint="eastAsia" w:ascii="仿宋" w:hAnsi="仿宋" w:eastAsia="仿宋" w:cs="仿宋_GB2312"/>
          <w:b/>
          <w:sz w:val="32"/>
          <w:szCs w:val="32"/>
        </w:rPr>
        <w:t>3.</w:t>
      </w:r>
      <w:r>
        <w:rPr>
          <w:rFonts w:ascii="仿宋" w:hAnsi="仿宋" w:eastAsia="仿宋" w:cs="仿宋_GB2312"/>
          <w:b/>
          <w:sz w:val="32"/>
          <w:szCs w:val="32"/>
        </w:rPr>
        <w:t>改革创新，数字赋能。</w:t>
      </w:r>
      <w:r>
        <w:rPr>
          <w:rFonts w:ascii="仿宋" w:hAnsi="仿宋" w:eastAsia="仿宋" w:cs="仿宋_GB2312"/>
          <w:sz w:val="32"/>
          <w:szCs w:val="32"/>
        </w:rPr>
        <w:t>加强托育服务领域供给侧结构性改革，落实和完善托育服务扶持政策措施，健全行业标准制度规范，培育智慧托育新业态，以创新促改革、以改革促发展，提高托育服务效能。</w:t>
      </w:r>
    </w:p>
    <w:p>
      <w:pPr>
        <w:spacing w:line="550" w:lineRule="exact"/>
        <w:ind w:firstLine="645"/>
        <w:rPr>
          <w:rFonts w:ascii="仿宋" w:hAnsi="仿宋" w:eastAsia="仿宋" w:cs="仿宋_GB2312"/>
          <w:sz w:val="32"/>
          <w:szCs w:val="32"/>
        </w:rPr>
      </w:pPr>
      <w:r>
        <w:rPr>
          <w:rFonts w:hint="eastAsia" w:ascii="仿宋" w:hAnsi="仿宋" w:eastAsia="仿宋" w:cs="仿宋_GB2312"/>
          <w:b/>
          <w:sz w:val="32"/>
          <w:szCs w:val="32"/>
        </w:rPr>
        <w:t>4.</w:t>
      </w:r>
      <w:r>
        <w:rPr>
          <w:rFonts w:ascii="仿宋" w:hAnsi="仿宋" w:eastAsia="仿宋" w:cs="仿宋_GB2312"/>
          <w:b/>
          <w:sz w:val="32"/>
          <w:szCs w:val="32"/>
        </w:rPr>
        <w:t>医育结合，安全健康。</w:t>
      </w:r>
      <w:r>
        <w:rPr>
          <w:rFonts w:ascii="仿宋" w:hAnsi="仿宋" w:eastAsia="仿宋" w:cs="仿宋_GB2312"/>
          <w:sz w:val="32"/>
          <w:szCs w:val="32"/>
        </w:rPr>
        <w:t>把婴幼儿安全健康摆在首要位置，加强妇幼保健机构对托育机构的专业指导，严格执行相关法律法规，明确责任主体，做到建设规范、管理科学、监管到位，确保托育机构安全运行</w:t>
      </w:r>
    </w:p>
    <w:p>
      <w:pPr>
        <w:spacing w:line="550" w:lineRule="exact"/>
        <w:ind w:firstLine="643" w:firstLineChars="200"/>
        <w:rPr>
          <w:rFonts w:ascii="黑体" w:hAnsi="黑体" w:eastAsia="黑体"/>
          <w:b/>
          <w:sz w:val="32"/>
          <w:szCs w:val="32"/>
        </w:rPr>
      </w:pPr>
      <w:r>
        <w:rPr>
          <w:rFonts w:hint="eastAsia" w:ascii="黑体" w:hAnsi="黑体" w:eastAsia="黑体"/>
          <w:b/>
          <w:sz w:val="32"/>
          <w:szCs w:val="32"/>
        </w:rPr>
        <w:t>二、主要任务</w:t>
      </w:r>
    </w:p>
    <w:p>
      <w:pPr>
        <w:spacing w:line="550" w:lineRule="exact"/>
        <w:ind w:firstLine="645"/>
        <w:rPr>
          <w:rFonts w:ascii="楷体" w:hAnsi="楷体" w:eastAsia="楷体"/>
          <w:b/>
          <w:sz w:val="32"/>
          <w:szCs w:val="32"/>
        </w:rPr>
      </w:pPr>
      <w:r>
        <w:rPr>
          <w:rFonts w:hint="eastAsia" w:ascii="楷体" w:hAnsi="楷体" w:eastAsia="楷体"/>
          <w:b/>
          <w:sz w:val="32"/>
          <w:szCs w:val="32"/>
        </w:rPr>
        <w:t>（一）</w:t>
      </w:r>
      <w:r>
        <w:rPr>
          <w:rFonts w:ascii="楷体" w:hAnsi="楷体" w:eastAsia="楷体"/>
          <w:b/>
          <w:sz w:val="32"/>
          <w:szCs w:val="32"/>
        </w:rPr>
        <w:t>优化托育设施合理布局</w:t>
      </w:r>
    </w:p>
    <w:p>
      <w:pPr>
        <w:spacing w:line="550" w:lineRule="exact"/>
        <w:ind w:firstLine="645"/>
        <w:rPr>
          <w:rFonts w:ascii="楷体" w:hAnsi="楷体" w:eastAsia="楷体"/>
          <w:sz w:val="32"/>
          <w:szCs w:val="32"/>
        </w:rPr>
      </w:pPr>
      <w:r>
        <w:rPr>
          <w:rFonts w:hint="eastAsia" w:ascii="仿宋" w:hAnsi="仿宋" w:eastAsia="仿宋"/>
          <w:b/>
          <w:sz w:val="32"/>
          <w:szCs w:val="32"/>
        </w:rPr>
        <w:t>1.</w:t>
      </w:r>
      <w:r>
        <w:rPr>
          <w:rFonts w:hint="eastAsia" w:ascii="仿宋" w:hAnsi="仿宋" w:eastAsia="仿宋"/>
          <w:b/>
          <w:color w:val="000000"/>
          <w:sz w:val="32"/>
          <w:szCs w:val="32"/>
        </w:rPr>
        <w:t>优化托育服务设施布局。</w:t>
      </w:r>
      <w:r>
        <w:rPr>
          <w:rFonts w:hint="eastAsia" w:ascii="仿宋" w:hAnsi="仿宋" w:eastAsia="仿宋"/>
          <w:sz w:val="32"/>
          <w:szCs w:val="32"/>
        </w:rPr>
        <w:t>根据</w:t>
      </w:r>
      <w:r>
        <w:rPr>
          <w:rFonts w:hint="eastAsia" w:ascii="仿宋" w:hAnsi="仿宋" w:eastAsia="仿宋"/>
          <w:color w:val="000000"/>
          <w:sz w:val="32"/>
          <w:szCs w:val="32"/>
        </w:rPr>
        <w:t>绍兴市</w:t>
      </w:r>
      <w:r>
        <w:rPr>
          <w:rFonts w:ascii="仿宋" w:hAnsi="仿宋" w:eastAsia="仿宋"/>
          <w:color w:val="000000"/>
          <w:sz w:val="32"/>
          <w:szCs w:val="32"/>
        </w:rPr>
        <w:t>3</w:t>
      </w:r>
      <w:r>
        <w:rPr>
          <w:rFonts w:hint="eastAsia" w:ascii="仿宋" w:hAnsi="仿宋" w:eastAsia="仿宋"/>
          <w:color w:val="000000"/>
          <w:sz w:val="32"/>
          <w:szCs w:val="32"/>
        </w:rPr>
        <w:t>岁以下婴幼儿照护服务设施专项规划导则，</w:t>
      </w:r>
      <w:r>
        <w:rPr>
          <w:rFonts w:ascii="仿宋" w:hAnsi="仿宋" w:eastAsia="仿宋"/>
          <w:color w:val="000000"/>
          <w:sz w:val="32"/>
          <w:szCs w:val="32"/>
        </w:rPr>
        <w:t>编制全区3岁以下婴幼儿照护服务设施布点规划，纳入</w:t>
      </w:r>
      <w:r>
        <w:rPr>
          <w:rFonts w:ascii="仿宋" w:hAnsi="仿宋" w:eastAsia="仿宋"/>
          <w:sz w:val="32"/>
          <w:szCs w:val="32"/>
        </w:rPr>
        <w:t>国土空间总体规划并落实至控制性详细规划，促进托育服务设施提质扩容和空间布局区域均衡。新建社区按照每千人10个以上托位的标准配置托育服务设施，未满足托位标准配置的在建和已建成社区按照每千人8个以上托位的标准增配。新建住宅小区结合社区用房按不少于</w:t>
      </w:r>
      <w:r>
        <w:rPr>
          <w:rFonts w:hint="eastAsia" w:ascii="仿宋" w:hAnsi="仿宋" w:eastAsia="仿宋"/>
          <w:sz w:val="32"/>
          <w:szCs w:val="32"/>
        </w:rPr>
        <w:t>200m</w:t>
      </w:r>
      <w:r>
        <w:rPr>
          <w:rFonts w:hint="eastAsia" w:ascii="仿宋" w:hAnsi="仿宋" w:eastAsia="仿宋"/>
          <w:sz w:val="32"/>
          <w:szCs w:val="32"/>
          <w:vertAlign w:val="superscript"/>
        </w:rPr>
        <w:t>2</w:t>
      </w:r>
      <w:r>
        <w:rPr>
          <w:rFonts w:ascii="仿宋" w:hAnsi="仿宋" w:eastAsia="仿宋"/>
          <w:sz w:val="32"/>
          <w:szCs w:val="32"/>
        </w:rPr>
        <w:t>标准</w:t>
      </w:r>
      <w:r>
        <w:rPr>
          <w:rFonts w:hint="eastAsia" w:ascii="仿宋" w:hAnsi="仿宋" w:eastAsia="仿宋"/>
          <w:sz w:val="32"/>
          <w:szCs w:val="32"/>
        </w:rPr>
        <w:t>规划配建</w:t>
      </w:r>
      <w:r>
        <w:rPr>
          <w:rFonts w:ascii="仿宋" w:hAnsi="仿宋" w:eastAsia="仿宋"/>
          <w:sz w:val="32"/>
          <w:szCs w:val="32"/>
        </w:rPr>
        <w:t>托育设施（如托育机构或照护驿站等）或</w:t>
      </w:r>
      <w:r>
        <w:rPr>
          <w:rFonts w:hint="eastAsia" w:ascii="仿宋" w:hAnsi="仿宋" w:eastAsia="仿宋"/>
          <w:sz w:val="32"/>
          <w:szCs w:val="32"/>
        </w:rPr>
        <w:t>结合配套幼儿园按每3班配置1个托班标准配建托班</w:t>
      </w:r>
      <w:r>
        <w:rPr>
          <w:rFonts w:ascii="仿宋" w:hAnsi="仿宋" w:eastAsia="仿宋"/>
          <w:sz w:val="32"/>
          <w:szCs w:val="32"/>
        </w:rPr>
        <w:t>。</w:t>
      </w:r>
      <w:r>
        <w:rPr>
          <w:rFonts w:hint="eastAsia" w:ascii="仿宋" w:hAnsi="仿宋" w:eastAsia="仿宋"/>
          <w:sz w:val="32"/>
          <w:szCs w:val="32"/>
        </w:rPr>
        <w:t>托育服务功能要纳入村庄规划，</w:t>
      </w:r>
      <w:r>
        <w:rPr>
          <w:rFonts w:ascii="仿宋" w:hAnsi="仿宋" w:eastAsia="仿宋"/>
          <w:sz w:val="32"/>
          <w:szCs w:val="32"/>
        </w:rPr>
        <w:t>在农村社区综合服务设施建设中统筹考虑婴幼儿照护服务设施。</w:t>
      </w:r>
      <w:r>
        <w:rPr>
          <w:rFonts w:ascii="楷体" w:hAnsi="楷体" w:eastAsia="楷体"/>
          <w:sz w:val="32"/>
          <w:szCs w:val="32"/>
        </w:rPr>
        <w:t>（责任部门：区卫生健康局、区自然资源和规划分局、区建设局、区农业农村局）</w:t>
      </w:r>
    </w:p>
    <w:p>
      <w:pPr>
        <w:spacing w:line="550" w:lineRule="exact"/>
        <w:ind w:firstLine="645"/>
        <w:rPr>
          <w:rFonts w:ascii="楷体" w:hAnsi="楷体" w:eastAsia="楷体"/>
          <w:b/>
          <w:sz w:val="32"/>
          <w:szCs w:val="32"/>
        </w:rPr>
      </w:pPr>
      <w:r>
        <w:rPr>
          <w:rFonts w:hint="eastAsia" w:ascii="楷体" w:hAnsi="楷体" w:eastAsia="楷体"/>
          <w:b/>
          <w:sz w:val="32"/>
          <w:szCs w:val="32"/>
        </w:rPr>
        <w:t>（二）推进托育服务有效供给</w:t>
      </w:r>
    </w:p>
    <w:p>
      <w:pPr>
        <w:spacing w:line="550" w:lineRule="exact"/>
        <w:ind w:firstLine="645"/>
        <w:rPr>
          <w:rFonts w:ascii="楷体" w:hAnsi="楷体" w:eastAsia="楷体"/>
          <w:sz w:val="32"/>
          <w:szCs w:val="32"/>
        </w:rPr>
      </w:pPr>
      <w:r>
        <w:rPr>
          <w:rFonts w:hint="eastAsia" w:ascii="仿宋" w:hAnsi="仿宋" w:eastAsia="仿宋"/>
          <w:b/>
          <w:sz w:val="32"/>
          <w:szCs w:val="32"/>
        </w:rPr>
        <w:t>2.加强家庭照护支持指导。</w:t>
      </w:r>
      <w:r>
        <w:rPr>
          <w:rFonts w:hint="eastAsia" w:ascii="仿宋" w:hAnsi="仿宋" w:eastAsia="仿宋"/>
          <w:sz w:val="32"/>
          <w:szCs w:val="32"/>
        </w:rPr>
        <w:t>倡导婴幼儿以家庭养育为主，贯彻落实相关政策法规，推动女职工产假、父母育儿假调整，为家庭养育创造便利。拓展基本公共卫生服务内涵，做实家庭医生签约服务，建立健全覆盖城乡的科学育儿指导服务网络，推进新生儿访视和婴幼儿定期健康检查，加强婴幼儿发育监测和筛查评估，为家庭提供专业科学养育指导。加强公共场所母婴设施建设，为婴幼儿出行、哺乳喂养等提供便利条件。</w:t>
      </w:r>
      <w:r>
        <w:rPr>
          <w:rFonts w:hint="eastAsia" w:ascii="楷体" w:hAnsi="楷体" w:eastAsia="楷体"/>
          <w:sz w:val="32"/>
          <w:szCs w:val="32"/>
        </w:rPr>
        <w:t>（责任部门：区总工会、区卫生健康局）</w:t>
      </w:r>
    </w:p>
    <w:p>
      <w:pPr>
        <w:spacing w:line="550" w:lineRule="exact"/>
        <w:ind w:firstLine="645"/>
        <w:rPr>
          <w:rFonts w:ascii="楷体" w:hAnsi="楷体" w:eastAsia="楷体"/>
          <w:sz w:val="32"/>
          <w:szCs w:val="32"/>
        </w:rPr>
      </w:pPr>
      <w:r>
        <w:rPr>
          <w:rFonts w:hint="eastAsia" w:ascii="仿宋" w:hAnsi="仿宋" w:eastAsia="仿宋"/>
          <w:b/>
          <w:sz w:val="32"/>
          <w:szCs w:val="32"/>
        </w:rPr>
        <w:t>3.加强社区照护服务供给。</w:t>
      </w:r>
      <w:r>
        <w:rPr>
          <w:rFonts w:hint="eastAsia" w:ascii="仿宋" w:hAnsi="仿宋" w:eastAsia="仿宋"/>
          <w:sz w:val="32"/>
          <w:szCs w:val="32"/>
        </w:rPr>
        <w:t>将托育服务纳入城乡社区公共服务范围，采取公办民营、民办公助等方式，支持多方力量在社区新建、改扩建一批嵌入式、专业化、普惠性的托育机构或驿站，与社区服务中心（站）及医护、教育、文化、养老、体育等设施共建共享。探索“物业服务+托育服务”模式，增强社区托育服务能力。</w:t>
      </w:r>
      <w:r>
        <w:rPr>
          <w:rFonts w:hint="eastAsia" w:ascii="仿宋_GB2312" w:eastAsia="仿宋_GB2312"/>
          <w:color w:val="000000"/>
          <w:sz w:val="32"/>
          <w:szCs w:val="32"/>
        </w:rPr>
        <w:t>将托育服务纳入现代社区、未来社区（乡村）建设规划，按标准打造托育服务应用场景。</w:t>
      </w:r>
      <w:r>
        <w:rPr>
          <w:rFonts w:hint="eastAsia" w:ascii="仿宋" w:hAnsi="仿宋" w:eastAsia="仿宋"/>
          <w:sz w:val="32"/>
          <w:szCs w:val="32"/>
        </w:rPr>
        <w:t>以社区为平台、各类社会组织为载体，培养婴幼儿照护服务志愿者队伍。</w:t>
      </w:r>
      <w:r>
        <w:rPr>
          <w:rFonts w:hint="eastAsia" w:ascii="楷体" w:hAnsi="楷体" w:eastAsia="楷体"/>
          <w:sz w:val="32"/>
          <w:szCs w:val="32"/>
        </w:rPr>
        <w:t>（责任部门：区委组织部、区建设局、区民政局、区卫生健康局）</w:t>
      </w:r>
    </w:p>
    <w:p>
      <w:pPr>
        <w:spacing w:line="550" w:lineRule="exact"/>
        <w:ind w:firstLine="645"/>
        <w:rPr>
          <w:rFonts w:ascii="楷体" w:hAnsi="楷体" w:eastAsia="楷体"/>
          <w:sz w:val="32"/>
          <w:szCs w:val="32"/>
        </w:rPr>
      </w:pPr>
      <w:r>
        <w:rPr>
          <w:rFonts w:hint="eastAsia" w:ascii="仿宋" w:hAnsi="仿宋" w:eastAsia="仿宋"/>
          <w:b/>
          <w:sz w:val="32"/>
          <w:szCs w:val="32"/>
        </w:rPr>
        <w:t>4.加强社会力量参与服务。</w:t>
      </w:r>
      <w:r>
        <w:rPr>
          <w:rFonts w:hint="eastAsia" w:ascii="仿宋" w:hAnsi="仿宋" w:eastAsia="仿宋"/>
          <w:sz w:val="32"/>
          <w:szCs w:val="32"/>
        </w:rPr>
        <w:t>通过市场化方式，引导国有企业、社会组织、机关企事业单位或个人举办托育机构，形成多元办托格局。通过提供场所、运行补助等政策措施，支持社会力量发展普惠性婴幼儿照护服务。鼓励用人单位以单独或合作等方式，举办职工福利性托育机构，职工入托所发生的费用，作为单位职工福利费支出，按规定在税前扣除，其中属于提供社区婴幼儿照护服务取得的收入，在计算应纳税所得额时，可减按90%计入收入总额。</w:t>
      </w:r>
      <w:r>
        <w:rPr>
          <w:rFonts w:hint="eastAsia" w:ascii="楷体" w:hAnsi="楷体" w:eastAsia="楷体"/>
          <w:sz w:val="32"/>
          <w:szCs w:val="32"/>
        </w:rPr>
        <w:t>（责任部门：区卫生健康局、区国资办、区总工会、区税务局）</w:t>
      </w:r>
    </w:p>
    <w:p>
      <w:pPr>
        <w:spacing w:line="550" w:lineRule="exact"/>
        <w:ind w:firstLine="645"/>
        <w:rPr>
          <w:rFonts w:ascii="楷体" w:hAnsi="楷体" w:eastAsia="楷体"/>
          <w:sz w:val="32"/>
          <w:szCs w:val="32"/>
        </w:rPr>
      </w:pPr>
      <w:r>
        <w:rPr>
          <w:rFonts w:hint="eastAsia" w:ascii="仿宋_GB2312" w:hAnsi="仿宋" w:eastAsia="仿宋_GB2312"/>
          <w:b/>
          <w:sz w:val="32"/>
          <w:szCs w:val="32"/>
        </w:rPr>
        <w:t>5.加强幼托一体服务供给。</w:t>
      </w:r>
      <w:r>
        <w:rPr>
          <w:rFonts w:hint="eastAsia" w:ascii="仿宋_GB2312" w:hAnsi="仿宋" w:eastAsia="仿宋_GB2312"/>
          <w:sz w:val="32"/>
          <w:szCs w:val="32"/>
        </w:rPr>
        <w:t>区教体局负责幼儿园托育部管理，支持有条件的幼儿园利用现有资源开设托班，招收2至3岁婴幼儿，并</w:t>
      </w:r>
      <w:r>
        <w:rPr>
          <w:rFonts w:hint="eastAsia" w:ascii="仿宋_GB2312" w:eastAsia="仿宋_GB2312"/>
          <w:color w:val="000000"/>
          <w:sz w:val="32"/>
          <w:szCs w:val="32"/>
        </w:rPr>
        <w:t>将幼儿园托班纳入幼儿园生均经费</w:t>
      </w:r>
      <w:r>
        <w:rPr>
          <w:rFonts w:hint="eastAsia" w:ascii="仿宋_GB2312" w:hAnsi="仿宋" w:eastAsia="仿宋_GB2312"/>
          <w:sz w:val="32"/>
          <w:szCs w:val="32"/>
        </w:rPr>
        <w:t>。将托班列入小区配套幼儿园建设规划。鼓励有条件的民办幼</w:t>
      </w:r>
      <w:r>
        <w:rPr>
          <w:rFonts w:hint="eastAsia" w:ascii="仿宋_GB2312" w:eastAsia="仿宋_GB2312"/>
          <w:color w:val="000000"/>
          <w:sz w:val="32"/>
          <w:szCs w:val="32"/>
        </w:rPr>
        <w:t>儿园开设普惠性托班，</w:t>
      </w:r>
      <w:r>
        <w:rPr>
          <w:rFonts w:hint="eastAsia" w:ascii="仿宋_GB2312" w:hAnsi="仿宋" w:eastAsia="仿宋_GB2312"/>
          <w:sz w:val="32"/>
          <w:szCs w:val="32"/>
        </w:rPr>
        <w:t>支持有条件的幼儿园到社区开设托班服务点</w:t>
      </w:r>
      <w:r>
        <w:rPr>
          <w:rFonts w:hint="eastAsia" w:ascii="仿宋_GB2312" w:eastAsia="仿宋_GB2312"/>
          <w:color w:val="000000"/>
          <w:sz w:val="32"/>
          <w:szCs w:val="32"/>
        </w:rPr>
        <w:t>。完善幼儿园托班登记制度，登记后托班不改变主管部门和经营性质，并享受普惠托育补贴。</w:t>
      </w:r>
      <w:r>
        <w:rPr>
          <w:rFonts w:hint="eastAsia" w:ascii="仿宋_GB2312" w:hAnsi="仿宋" w:eastAsia="仿宋_GB2312"/>
          <w:sz w:val="32"/>
          <w:szCs w:val="32"/>
        </w:rPr>
        <w:t>制定幼儿园托班管理指南，加强保育教育管理，促进婴幼儿在身体发育、动作、语言、认知、情感与社会性等方面的全面发展。</w:t>
      </w:r>
      <w:r>
        <w:rPr>
          <w:rFonts w:hint="eastAsia" w:ascii="楷体" w:hAnsi="楷体" w:eastAsia="楷体"/>
          <w:sz w:val="32"/>
          <w:szCs w:val="32"/>
        </w:rPr>
        <w:t>（责任部门：区教体局、区财政局）</w:t>
      </w:r>
    </w:p>
    <w:p>
      <w:pPr>
        <w:spacing w:line="550" w:lineRule="exact"/>
        <w:ind w:firstLine="645"/>
        <w:rPr>
          <w:rFonts w:ascii="楷体" w:hAnsi="楷体" w:eastAsia="楷体"/>
          <w:b/>
          <w:sz w:val="32"/>
          <w:szCs w:val="32"/>
        </w:rPr>
      </w:pPr>
      <w:r>
        <w:rPr>
          <w:rFonts w:hint="eastAsia" w:ascii="楷体" w:hAnsi="楷体" w:eastAsia="楷体"/>
          <w:b/>
          <w:sz w:val="32"/>
          <w:szCs w:val="32"/>
        </w:rPr>
        <w:t>（三）强化托育机构规范管理</w:t>
      </w:r>
    </w:p>
    <w:p>
      <w:pPr>
        <w:spacing w:line="550" w:lineRule="exact"/>
        <w:ind w:firstLine="645"/>
        <w:rPr>
          <w:rFonts w:ascii="楷体" w:hAnsi="楷体" w:eastAsia="楷体"/>
          <w:sz w:val="32"/>
          <w:szCs w:val="32"/>
        </w:rPr>
      </w:pPr>
      <w:r>
        <w:rPr>
          <w:rFonts w:hint="eastAsia" w:ascii="仿宋" w:hAnsi="仿宋" w:eastAsia="仿宋"/>
          <w:b/>
          <w:sz w:val="32"/>
          <w:szCs w:val="32"/>
        </w:rPr>
        <w:t>6.规范机构登记备案流程。</w:t>
      </w:r>
      <w:r>
        <w:rPr>
          <w:rFonts w:hint="eastAsia" w:ascii="仿宋" w:hAnsi="仿宋" w:eastAsia="仿宋"/>
          <w:sz w:val="32"/>
          <w:szCs w:val="32"/>
        </w:rPr>
        <w:t>举办非营利性托育机构的，在区编办或区民政局注册登记；举办营利性托育机构的，在区市场监管局注册登记。托育机构经核准登记后，应当及时向区卫生健康局备案。探索建立部门间信息互通和登记前部门指导制度，各登记单位应当及时将有关机构登记信息推送至区卫生健康局，区卫生健康局应当就专业备案事宜进行指导，提高备案率。</w:t>
      </w:r>
      <w:r>
        <w:rPr>
          <w:rFonts w:hint="eastAsia" w:ascii="楷体" w:hAnsi="楷体" w:eastAsia="楷体"/>
          <w:sz w:val="32"/>
          <w:szCs w:val="32"/>
        </w:rPr>
        <w:t>（责任部门：区委编办、区民政局、区市场监管局、区卫生健康局）</w:t>
      </w:r>
    </w:p>
    <w:p>
      <w:pPr>
        <w:spacing w:line="550" w:lineRule="exact"/>
        <w:ind w:firstLine="645"/>
        <w:rPr>
          <w:rFonts w:ascii="仿宋" w:hAnsi="仿宋" w:eastAsia="仿宋"/>
          <w:sz w:val="32"/>
          <w:szCs w:val="32"/>
        </w:rPr>
      </w:pPr>
      <w:r>
        <w:rPr>
          <w:rFonts w:hint="eastAsia" w:ascii="仿宋" w:hAnsi="仿宋" w:eastAsia="仿宋"/>
          <w:b/>
          <w:sz w:val="32"/>
          <w:szCs w:val="32"/>
        </w:rPr>
        <w:t>7.实行分级分类动态管理。</w:t>
      </w:r>
      <w:r>
        <w:rPr>
          <w:rFonts w:hint="eastAsia" w:ascii="仿宋" w:hAnsi="仿宋" w:eastAsia="仿宋"/>
          <w:sz w:val="32"/>
          <w:szCs w:val="32"/>
        </w:rPr>
        <w:t>按照“分级负责、分等评估、动态管理”的原则对经法人登记，并通过区卫生健康局备案的托育机构进行“示范、一级、二级和三级”等级管理，并实行动态管理，每3年开展1次复核工作，对不达标的，予以限期整改、重新评定或作降级处理。托育机构等级与普惠性收费的限价和运行补助挂钩。</w:t>
      </w:r>
      <w:r>
        <w:rPr>
          <w:rFonts w:hint="eastAsia" w:ascii="楷体" w:hAnsi="楷体" w:eastAsia="楷体"/>
          <w:sz w:val="32"/>
          <w:szCs w:val="32"/>
        </w:rPr>
        <w:t>（责任部门：区卫生健康局、区财政局）</w:t>
      </w:r>
    </w:p>
    <w:p>
      <w:pPr>
        <w:spacing w:line="550" w:lineRule="exact"/>
        <w:ind w:firstLine="645"/>
        <w:rPr>
          <w:rFonts w:ascii="仿宋" w:hAnsi="仿宋" w:eastAsia="仿宋"/>
          <w:sz w:val="32"/>
          <w:szCs w:val="32"/>
        </w:rPr>
      </w:pPr>
      <w:r>
        <w:rPr>
          <w:rFonts w:hint="eastAsia" w:ascii="仿宋" w:hAnsi="仿宋" w:eastAsia="仿宋"/>
          <w:b/>
          <w:sz w:val="32"/>
          <w:szCs w:val="32"/>
        </w:rPr>
        <w:t>8.加强托育专业队伍建设。</w:t>
      </w:r>
      <w:r>
        <w:rPr>
          <w:rFonts w:hint="eastAsia" w:ascii="仿宋" w:hAnsi="仿宋" w:eastAsia="仿宋"/>
          <w:sz w:val="32"/>
          <w:szCs w:val="32"/>
        </w:rPr>
        <w:t>各类经备案的托育机构引进的人才符合条件的享受对应人才政策。对育婴员、保育员等从业人员开展岗前职后培训，依法实行婴幼儿照护服务工作人员职业资格准入和持证上岗制度。将婴幼儿照护服务从业人员列入急需紧缺职业（工种）目录和政府补贴性培训目录，按规定落实职业培训补贴、职业技能鉴定补贴等政策。鼓励幼教人员到托育机构执业，将托育机构作为幼教人员基层服务定点单位，打通职称晋升通道。支持儿童保健人员为托育机构提供指导服务，探索建立保育、幼教、儿童保健等人员融合发展的婴幼儿照护服务队伍。</w:t>
      </w:r>
      <w:r>
        <w:rPr>
          <w:rFonts w:hint="eastAsia" w:ascii="楷体" w:hAnsi="楷体" w:eastAsia="楷体"/>
          <w:sz w:val="32"/>
          <w:szCs w:val="32"/>
        </w:rPr>
        <w:t>（责任部门：区人才办、区人力社保局、区教体局、区卫生健康局）</w:t>
      </w:r>
    </w:p>
    <w:p>
      <w:pPr>
        <w:spacing w:line="560" w:lineRule="exact"/>
        <w:ind w:firstLine="645"/>
        <w:rPr>
          <w:rFonts w:ascii="仿宋" w:hAnsi="仿宋" w:eastAsia="仿宋"/>
          <w:sz w:val="32"/>
          <w:szCs w:val="32"/>
        </w:rPr>
      </w:pPr>
      <w:r>
        <w:rPr>
          <w:rFonts w:hint="eastAsia" w:ascii="仿宋" w:hAnsi="仿宋" w:eastAsia="仿宋"/>
          <w:b/>
          <w:sz w:val="32"/>
          <w:szCs w:val="32"/>
        </w:rPr>
        <w:t>9.加强托育机构规范化管理。</w:t>
      </w:r>
      <w:r>
        <w:rPr>
          <w:rFonts w:hint="eastAsia" w:ascii="仿宋" w:hAnsi="仿宋" w:eastAsia="仿宋"/>
          <w:sz w:val="32"/>
          <w:szCs w:val="32"/>
        </w:rPr>
        <w:t>按照省定托育机构设置标准、管理办法和登记备案、信息公示、综合监管、质量评估等制度要求，对托育机构实施动态管理，落实各类托育机构的消防、安全和健康管理等主体责任。各类托育机构可根据家庭的实际需求，提供全日托、半日托、计时托、临时托等多样化婴幼儿照护服务。托育机构的设置应符合相关建筑设计和安全规范要求。</w:t>
      </w:r>
      <w:r>
        <w:rPr>
          <w:rFonts w:hint="eastAsia" w:ascii="楷体" w:hAnsi="楷体" w:eastAsia="楷体"/>
          <w:sz w:val="32"/>
          <w:szCs w:val="32"/>
        </w:rPr>
        <w:t>（责任部门：区卫生健康局、区建设局、区消防救援大队）</w:t>
      </w:r>
    </w:p>
    <w:p>
      <w:pPr>
        <w:spacing w:line="560" w:lineRule="exact"/>
        <w:ind w:firstLine="645"/>
        <w:rPr>
          <w:rFonts w:ascii="仿宋" w:hAnsi="仿宋" w:eastAsia="仿宋"/>
          <w:sz w:val="32"/>
          <w:szCs w:val="32"/>
        </w:rPr>
      </w:pPr>
      <w:r>
        <w:rPr>
          <w:rFonts w:hint="eastAsia" w:ascii="楷体" w:hAnsi="楷体" w:eastAsia="楷体"/>
          <w:b/>
          <w:sz w:val="32"/>
          <w:szCs w:val="32"/>
        </w:rPr>
        <w:t>（四）实施医育结合协同创新</w:t>
      </w:r>
    </w:p>
    <w:p>
      <w:pPr>
        <w:spacing w:line="560" w:lineRule="exact"/>
        <w:ind w:firstLine="643" w:firstLineChars="200"/>
        <w:rPr>
          <w:rFonts w:ascii="仿宋_GB2312" w:eastAsia="仿宋_GB2312"/>
          <w:sz w:val="32"/>
          <w:szCs w:val="32"/>
        </w:rPr>
      </w:pPr>
      <w:r>
        <w:rPr>
          <w:rFonts w:hint="eastAsia" w:ascii="仿宋_GB2312" w:hAnsi="微软雅黑" w:eastAsia="仿宋_GB2312"/>
          <w:b/>
          <w:color w:val="171A1D"/>
          <w:sz w:val="32"/>
          <w:szCs w:val="32"/>
          <w:shd w:val="clear" w:color="auto" w:fill="FFFFFF"/>
        </w:rPr>
        <w:t>10.加快建设区托育综合服务中心。</w:t>
      </w:r>
      <w:r>
        <w:rPr>
          <w:rFonts w:hint="eastAsia" w:ascii="仿宋_GB2312" w:hAnsi="微软雅黑" w:eastAsia="仿宋_GB2312"/>
          <w:color w:val="171A1D"/>
          <w:sz w:val="32"/>
          <w:szCs w:val="32"/>
          <w:shd w:val="clear" w:color="auto" w:fill="FFFFFF"/>
        </w:rPr>
        <w:t>依托区妇幼保健院服务资源，结合鸿雁未来社区托育场景打造，新建1000㎡的区托育综合服务中心，具备托育服务、婴幼儿早期发展、儿童保健等功能，建设资金由区财政统筹解决，为全区托育机构高质量建设提供样板。建立健全区级托育管理服务机构及运行机制，开展托育从业人员培训、托育产品开发和全区面上婴幼儿养育照护服务的监督指导等工作。</w:t>
      </w:r>
      <w:r>
        <w:rPr>
          <w:rFonts w:hint="eastAsia" w:ascii="楷体" w:hAnsi="楷体" w:eastAsia="楷体"/>
          <w:sz w:val="32"/>
          <w:szCs w:val="32"/>
        </w:rPr>
        <w:t>（责任部门：区委编办、区发改局、区财政局、区卫生健康局）</w:t>
      </w:r>
    </w:p>
    <w:p>
      <w:pPr>
        <w:spacing w:line="560" w:lineRule="exact"/>
        <w:ind w:firstLine="645"/>
        <w:rPr>
          <w:rFonts w:ascii="仿宋" w:hAnsi="仿宋" w:eastAsia="仿宋"/>
          <w:sz w:val="32"/>
          <w:szCs w:val="32"/>
        </w:rPr>
      </w:pPr>
      <w:r>
        <w:rPr>
          <w:rFonts w:hint="eastAsia" w:ascii="仿宋" w:hAnsi="仿宋" w:eastAsia="仿宋"/>
          <w:b/>
          <w:sz w:val="32"/>
          <w:szCs w:val="32"/>
        </w:rPr>
        <w:t>11.推进基层托育指导机构建设。</w:t>
      </w:r>
      <w:r>
        <w:rPr>
          <w:rFonts w:ascii="仿宋" w:hAnsi="仿宋" w:eastAsia="仿宋"/>
          <w:sz w:val="32"/>
          <w:szCs w:val="32"/>
        </w:rPr>
        <w:t>依托乡镇卫生院和街道社区卫生服务中心，建设“医、防、护”儿童健康管理中心，通过</w:t>
      </w:r>
      <w:r>
        <w:rPr>
          <w:rFonts w:hint="eastAsia" w:ascii="仿宋" w:hAnsi="仿宋" w:eastAsia="仿宋"/>
          <w:sz w:val="32"/>
          <w:szCs w:val="32"/>
        </w:rPr>
        <w:t>上级</w:t>
      </w:r>
      <w:r>
        <w:rPr>
          <w:rFonts w:ascii="仿宋" w:hAnsi="仿宋" w:eastAsia="仿宋"/>
          <w:sz w:val="32"/>
          <w:szCs w:val="32"/>
        </w:rPr>
        <w:t>验收的，区财政</w:t>
      </w:r>
      <w:r>
        <w:rPr>
          <w:rFonts w:hint="eastAsia" w:ascii="仿宋" w:hAnsi="仿宋" w:eastAsia="仿宋" w:cs="仿宋_GB2312"/>
          <w:sz w:val="32"/>
          <w:szCs w:val="32"/>
        </w:rPr>
        <w:t>按5万元/个的标准落实奖补政策。</w:t>
      </w:r>
      <w:r>
        <w:rPr>
          <w:rFonts w:hint="eastAsia" w:ascii="仿宋" w:hAnsi="仿宋" w:eastAsia="仿宋"/>
          <w:sz w:val="32"/>
          <w:szCs w:val="32"/>
        </w:rPr>
        <w:t>推行</w:t>
      </w:r>
      <w:r>
        <w:rPr>
          <w:rFonts w:ascii="仿宋" w:hAnsi="仿宋" w:eastAsia="仿宋"/>
          <w:sz w:val="32"/>
          <w:szCs w:val="32"/>
        </w:rPr>
        <w:t>专业（基层）医疗卫生机构与托育机构</w:t>
      </w:r>
      <w:r>
        <w:rPr>
          <w:rFonts w:hint="eastAsia" w:ascii="仿宋" w:hAnsi="仿宋" w:eastAsia="仿宋"/>
          <w:sz w:val="32"/>
          <w:szCs w:val="32"/>
        </w:rPr>
        <w:t>签约服务</w:t>
      </w:r>
      <w:r>
        <w:rPr>
          <w:rFonts w:ascii="仿宋" w:hAnsi="仿宋" w:eastAsia="仿宋"/>
          <w:sz w:val="32"/>
          <w:szCs w:val="32"/>
        </w:rPr>
        <w:t>，为</w:t>
      </w:r>
      <w:r>
        <w:rPr>
          <w:rFonts w:hint="eastAsia" w:ascii="仿宋" w:hAnsi="仿宋" w:eastAsia="仿宋"/>
          <w:sz w:val="32"/>
          <w:szCs w:val="32"/>
        </w:rPr>
        <w:t>0-3岁婴幼儿提供“一站式”医疗、保健、预防接种、养育风险筛查、早期发展、家访和辖区内托育机构健康指导等服务，并纳入公共卫生服务当量予以足额购买。</w:t>
      </w:r>
      <w:r>
        <w:rPr>
          <w:rFonts w:hint="eastAsia" w:ascii="楷体" w:hAnsi="楷体" w:eastAsia="楷体"/>
          <w:sz w:val="32"/>
          <w:szCs w:val="32"/>
        </w:rPr>
        <w:t>（责任部门：区财政局、区卫生健康局）</w:t>
      </w:r>
    </w:p>
    <w:p>
      <w:pPr>
        <w:spacing w:line="550" w:lineRule="exact"/>
        <w:ind w:firstLine="645"/>
        <w:rPr>
          <w:rFonts w:ascii="楷体" w:hAnsi="楷体" w:eastAsia="楷体"/>
          <w:b/>
          <w:sz w:val="32"/>
          <w:szCs w:val="32"/>
        </w:rPr>
      </w:pPr>
      <w:r>
        <w:rPr>
          <w:rFonts w:hint="eastAsia" w:ascii="楷体" w:hAnsi="楷体" w:eastAsia="楷体"/>
          <w:b/>
          <w:sz w:val="32"/>
          <w:szCs w:val="32"/>
        </w:rPr>
        <w:t>（五）落实托育服务支持引导</w:t>
      </w:r>
    </w:p>
    <w:p>
      <w:pPr>
        <w:spacing w:line="550" w:lineRule="exact"/>
        <w:ind w:firstLine="645"/>
        <w:rPr>
          <w:rFonts w:ascii="仿宋" w:hAnsi="仿宋" w:eastAsia="仿宋"/>
          <w:sz w:val="32"/>
          <w:szCs w:val="32"/>
        </w:rPr>
      </w:pPr>
      <w:r>
        <w:rPr>
          <w:rFonts w:hint="eastAsia" w:ascii="仿宋" w:hAnsi="仿宋" w:eastAsia="仿宋"/>
          <w:b/>
          <w:sz w:val="32"/>
          <w:szCs w:val="32"/>
        </w:rPr>
        <w:t>12.落实</w:t>
      </w:r>
      <w:r>
        <w:rPr>
          <w:rFonts w:ascii="仿宋" w:hAnsi="仿宋" w:eastAsia="仿宋"/>
          <w:b/>
          <w:sz w:val="32"/>
          <w:szCs w:val="32"/>
        </w:rPr>
        <w:t>备案机构经费补助。</w:t>
      </w:r>
      <w:r>
        <w:rPr>
          <w:rFonts w:ascii="仿宋" w:hAnsi="仿宋" w:eastAsia="仿宋"/>
          <w:sz w:val="32"/>
          <w:szCs w:val="32"/>
        </w:rPr>
        <w:t>对于新备案托育机构中新增业务用房改造、必要基本设施设备</w:t>
      </w:r>
      <w:r>
        <w:rPr>
          <w:rFonts w:hint="eastAsia" w:ascii="仿宋" w:hAnsi="仿宋" w:eastAsia="仿宋"/>
          <w:sz w:val="32"/>
          <w:szCs w:val="32"/>
        </w:rPr>
        <w:t>配置</w:t>
      </w:r>
      <w:r>
        <w:rPr>
          <w:rFonts w:ascii="仿宋" w:hAnsi="仿宋" w:eastAsia="仿宋"/>
          <w:sz w:val="32"/>
          <w:szCs w:val="32"/>
        </w:rPr>
        <w:t>和场地租赁支出等给予一定的经费补助，新增2个班及以下和2个班以上的，区财政分别按</w:t>
      </w:r>
      <w:r>
        <w:rPr>
          <w:rFonts w:hint="eastAsia" w:ascii="仿宋" w:hAnsi="仿宋" w:eastAsia="仿宋"/>
          <w:sz w:val="32"/>
          <w:szCs w:val="32"/>
        </w:rPr>
        <w:t>10万元、20万元标准给予一次性补助，分两年执行，</w:t>
      </w:r>
      <w:r>
        <w:rPr>
          <w:rFonts w:ascii="仿宋" w:hAnsi="仿宋" w:eastAsia="仿宋"/>
          <w:sz w:val="32"/>
          <w:szCs w:val="32"/>
        </w:rPr>
        <w:t>财政补助资金不高于当年度增班、新建托育机构实际投入资金额。经备案的婴幼儿照护服务点（驿站）按实际改造费用不超过5万元的标准进行一次性补助。经登记备案的幼儿园托育部，区财政按每托位实际改造费用不超过1000元的标准进行一次性补助，实际招收入托的，按同级同类幼儿园财政补助标准予以补助，两教一保人员经费不重复补助。</w:t>
      </w:r>
      <w:r>
        <w:rPr>
          <w:rFonts w:hint="eastAsia" w:ascii="楷体" w:hAnsi="楷体" w:eastAsia="楷体"/>
          <w:sz w:val="32"/>
          <w:szCs w:val="32"/>
        </w:rPr>
        <w:t>（责任部门：区卫生健康局、区教体局、区财政局）</w:t>
      </w:r>
    </w:p>
    <w:p>
      <w:pPr>
        <w:spacing w:line="550" w:lineRule="exact"/>
        <w:ind w:firstLine="643" w:firstLineChars="200"/>
        <w:rPr>
          <w:rFonts w:ascii="仿宋" w:hAnsi="仿宋" w:eastAsia="仿宋"/>
          <w:sz w:val="32"/>
          <w:szCs w:val="32"/>
        </w:rPr>
      </w:pPr>
      <w:r>
        <w:rPr>
          <w:rFonts w:hint="eastAsia" w:ascii="仿宋" w:hAnsi="仿宋" w:eastAsia="仿宋"/>
          <w:b/>
          <w:sz w:val="32"/>
          <w:szCs w:val="32"/>
        </w:rPr>
        <w:t>13.实施普惠托育服务管理。</w:t>
      </w:r>
      <w:r>
        <w:rPr>
          <w:rFonts w:hint="eastAsia" w:ascii="仿宋" w:hAnsi="仿宋" w:eastAsia="仿宋"/>
          <w:sz w:val="32"/>
          <w:szCs w:val="32"/>
        </w:rPr>
        <w:t>公办婴幼儿照护服务收费标准，实行政府指导价管理，制定基准价和浮动幅度，由机构在规定幅度内自主确定；民办婴幼儿照护服务收费标准，由托育机构合理确定，实行市场调节。各托育机构单次收费金额不超过三个月。</w:t>
      </w:r>
    </w:p>
    <w:p>
      <w:pPr>
        <w:spacing w:line="550" w:lineRule="exact"/>
        <w:ind w:firstLine="645"/>
        <w:rPr>
          <w:rFonts w:ascii="仿宋" w:hAnsi="仿宋" w:eastAsia="仿宋"/>
          <w:sz w:val="32"/>
          <w:szCs w:val="32"/>
        </w:rPr>
      </w:pPr>
      <w:r>
        <w:rPr>
          <w:rFonts w:ascii="仿宋" w:hAnsi="仿宋" w:eastAsia="仿宋"/>
          <w:sz w:val="32"/>
          <w:szCs w:val="32"/>
        </w:rPr>
        <w:t>被认定为普惠性托育机构的，每人每月保育费收费全日托托大班（含混合班）、托小班、乳儿班分别不高于申请认定上一年全体居民人均可支配收入（按当地年收入/12 折算到月）</w:t>
      </w:r>
      <w:r>
        <w:rPr>
          <w:rFonts w:hint="eastAsia" w:ascii="仿宋" w:hAnsi="仿宋" w:eastAsia="仿宋"/>
          <w:sz w:val="32"/>
          <w:szCs w:val="32"/>
        </w:rPr>
        <w:t>45%</w:t>
      </w:r>
      <w:r>
        <w:rPr>
          <w:rFonts w:ascii="仿宋" w:hAnsi="仿宋" w:eastAsia="仿宋"/>
          <w:sz w:val="32"/>
          <w:szCs w:val="32"/>
        </w:rPr>
        <w:t>、</w:t>
      </w:r>
      <w:r>
        <w:rPr>
          <w:rFonts w:hint="eastAsia" w:ascii="仿宋" w:hAnsi="仿宋" w:eastAsia="仿宋"/>
          <w:sz w:val="32"/>
          <w:szCs w:val="32"/>
        </w:rPr>
        <w:t>52%、60%</w:t>
      </w:r>
      <w:r>
        <w:rPr>
          <w:rFonts w:ascii="仿宋" w:hAnsi="仿宋" w:eastAsia="仿宋"/>
          <w:sz w:val="32"/>
          <w:szCs w:val="32"/>
        </w:rPr>
        <w:t>。其中国有资产、集体资产举办的（含公办民营、民办公助），全日托托大班（含混合班）、托小班、乳儿班保育费收费按一级（含示范）、二级、三级的等级分类核定，最高指导价不高于申请认定上一年全体居民人均可支配收入</w:t>
      </w:r>
      <w:r>
        <w:rPr>
          <w:rFonts w:hint="eastAsia" w:ascii="仿宋" w:hAnsi="仿宋" w:eastAsia="仿宋"/>
          <w:sz w:val="32"/>
          <w:szCs w:val="32"/>
        </w:rPr>
        <w:t>40%，50%，60%</w:t>
      </w:r>
      <w:r>
        <w:rPr>
          <w:rFonts w:ascii="仿宋" w:hAnsi="仿宋" w:eastAsia="仿宋"/>
          <w:sz w:val="32"/>
          <w:szCs w:val="32"/>
        </w:rPr>
        <w:t>。半日托收费不超过全日托相应标准的70%。计时托收费，每小时不超过全日托折算到日标准的30%；不足1小时的，按1小时计算。对经认定三级、二级、一级（含示范）标准的普惠性托育机构，分别按照每月500元、700元、900元的生均标准予以补助，具体按入托婴幼儿和入托时间结算。</w:t>
      </w:r>
      <w:r>
        <w:rPr>
          <w:rFonts w:hint="eastAsia" w:ascii="楷体" w:hAnsi="楷体" w:eastAsia="楷体"/>
          <w:sz w:val="32"/>
          <w:szCs w:val="32"/>
        </w:rPr>
        <w:t>（责任部门：区发改局、区财政局、区卫生健康局）</w:t>
      </w:r>
    </w:p>
    <w:p>
      <w:pPr>
        <w:spacing w:line="550" w:lineRule="exact"/>
        <w:ind w:firstLine="645"/>
        <w:rPr>
          <w:rFonts w:ascii="仿宋" w:hAnsi="仿宋" w:eastAsia="仿宋"/>
          <w:sz w:val="32"/>
          <w:szCs w:val="32"/>
        </w:rPr>
      </w:pPr>
      <w:r>
        <w:rPr>
          <w:rFonts w:hint="eastAsia" w:ascii="仿宋" w:hAnsi="仿宋" w:eastAsia="仿宋"/>
          <w:b/>
          <w:sz w:val="32"/>
          <w:szCs w:val="32"/>
        </w:rPr>
        <w:t>14.实施水电气价格优惠。</w:t>
      </w:r>
      <w:r>
        <w:rPr>
          <w:rFonts w:ascii="仿宋" w:hAnsi="仿宋" w:eastAsia="仿宋"/>
          <w:sz w:val="32"/>
          <w:szCs w:val="32"/>
        </w:rPr>
        <w:t>托育机构用水、用电、用气按照执行居民价格的非居民用户（如学校）标准执行。托育机构原则上应装设分表单独计量，暂不具备单独装表条件的，由向托育机构转供水电气的主体和托育机构一起与供水、供电、供气企业约定采用定量或定比的方式，确定托育机构应执行的水电气用量，并及时将居民类价格传导到相关托育机构。需实施“一户一表”改造的，涉及建筑区划红线以内的供水、供电、供气线路设施改造费用，由托育机构承担；计量装置由供水、供电、供气企业负责安装到位，不得向托育机构收取计量装置费用。</w:t>
      </w:r>
      <w:r>
        <w:rPr>
          <w:rFonts w:hint="eastAsia" w:ascii="楷体" w:hAnsi="楷体" w:eastAsia="楷体"/>
          <w:sz w:val="32"/>
          <w:szCs w:val="32"/>
        </w:rPr>
        <w:t>（责任部门：区发改局、区供电局、区水务集团、区天然气公司）</w:t>
      </w:r>
    </w:p>
    <w:p>
      <w:pPr>
        <w:spacing w:line="550" w:lineRule="exact"/>
        <w:ind w:firstLine="645"/>
        <w:rPr>
          <w:rFonts w:ascii="楷体" w:hAnsi="楷体" w:eastAsia="楷体"/>
          <w:sz w:val="32"/>
          <w:szCs w:val="32"/>
        </w:rPr>
      </w:pPr>
      <w:r>
        <w:rPr>
          <w:rFonts w:hint="eastAsia" w:ascii="仿宋" w:hAnsi="仿宋" w:eastAsia="仿宋"/>
          <w:b/>
          <w:sz w:val="32"/>
          <w:szCs w:val="32"/>
        </w:rPr>
        <w:t>15.落实税费减免政策。</w:t>
      </w:r>
      <w:r>
        <w:rPr>
          <w:rFonts w:hint="eastAsia" w:ascii="仿宋" w:hAnsi="仿宋" w:eastAsia="仿宋"/>
          <w:sz w:val="32"/>
          <w:szCs w:val="32"/>
        </w:rPr>
        <w:t>按照浙政办发〔2019〕64号文件要求落实相关税费减免，对提供社区婴幼儿照护服务的收入免征增值税；提供房产、土地用于社区婴幼儿照护服务的，按规定免征契税、房产税、城镇土地使用税和城市基础设施配套费、不动产登记费等税费。</w:t>
      </w:r>
      <w:r>
        <w:rPr>
          <w:rFonts w:hint="eastAsia" w:ascii="楷体" w:hAnsi="楷体" w:eastAsia="楷体"/>
          <w:sz w:val="32"/>
          <w:szCs w:val="32"/>
        </w:rPr>
        <w:t>（责任部门：区税务局、区建设局、区自然资源和规划分局）</w:t>
      </w:r>
    </w:p>
    <w:p>
      <w:pPr>
        <w:spacing w:line="550" w:lineRule="exact"/>
        <w:ind w:firstLine="645"/>
        <w:rPr>
          <w:rFonts w:ascii="楷体" w:hAnsi="楷体" w:eastAsia="楷体"/>
          <w:b/>
          <w:sz w:val="32"/>
          <w:szCs w:val="32"/>
        </w:rPr>
      </w:pPr>
      <w:r>
        <w:rPr>
          <w:rFonts w:hint="eastAsia" w:ascii="楷体" w:hAnsi="楷体" w:eastAsia="楷体"/>
          <w:b/>
          <w:sz w:val="32"/>
          <w:szCs w:val="32"/>
        </w:rPr>
        <w:t>（六）强化部门协同综合监管</w:t>
      </w:r>
    </w:p>
    <w:p>
      <w:pPr>
        <w:spacing w:line="550" w:lineRule="exact"/>
        <w:ind w:firstLine="645"/>
        <w:rPr>
          <w:rFonts w:ascii="仿宋" w:hAnsi="仿宋" w:eastAsia="仿宋"/>
          <w:sz w:val="32"/>
          <w:szCs w:val="32"/>
        </w:rPr>
      </w:pPr>
      <w:r>
        <w:rPr>
          <w:rFonts w:hint="eastAsia" w:ascii="仿宋" w:hAnsi="仿宋" w:eastAsia="仿宋"/>
          <w:b/>
          <w:sz w:val="32"/>
          <w:szCs w:val="32"/>
        </w:rPr>
        <w:t>16.健全部门综合监管机制。</w:t>
      </w:r>
      <w:r>
        <w:rPr>
          <w:rFonts w:hint="eastAsia" w:ascii="仿宋" w:hAnsi="仿宋" w:eastAsia="仿宋"/>
          <w:sz w:val="32"/>
          <w:szCs w:val="32"/>
        </w:rPr>
        <w:t>按照“统一领导、属地管理、各司其职、权责一致”的原则，建立健全信息共享、会议联商、联合执法、齐抓共管的综合监管机制。原则上每半年召开一次综合监管联席会议和组织一次联合执法检查，重点查处未经备案开展托育服务、无证无照、违反消防安全规定及其他违法经营行为等。发挥区消保委作用，联合相关部门处置消费者投诉，保障我区托育服务健康有序发展。</w:t>
      </w:r>
      <w:r>
        <w:rPr>
          <w:rFonts w:hint="eastAsia" w:ascii="楷体" w:hAnsi="楷体" w:eastAsia="楷体"/>
          <w:sz w:val="32"/>
          <w:szCs w:val="32"/>
        </w:rPr>
        <w:t>（责任部门：区教体局、区公安分局、区民政局、区人力社保局、区建设局、区文广旅游局、区卫生健康局、区市场监管局、区科技局、消防救援大队）</w:t>
      </w:r>
    </w:p>
    <w:p>
      <w:pPr>
        <w:spacing w:line="550" w:lineRule="exact"/>
        <w:ind w:firstLine="645"/>
        <w:rPr>
          <w:rFonts w:ascii="仿宋" w:hAnsi="仿宋" w:eastAsia="仿宋"/>
          <w:sz w:val="32"/>
          <w:szCs w:val="32"/>
        </w:rPr>
      </w:pPr>
      <w:r>
        <w:rPr>
          <w:rFonts w:hint="eastAsia" w:ascii="仿宋" w:hAnsi="仿宋" w:eastAsia="仿宋"/>
          <w:b/>
          <w:sz w:val="32"/>
          <w:szCs w:val="32"/>
        </w:rPr>
        <w:t>17.加强托育机构考核评估。</w:t>
      </w:r>
      <w:r>
        <w:rPr>
          <w:rFonts w:hint="eastAsia" w:ascii="仿宋" w:hAnsi="仿宋" w:eastAsia="仿宋"/>
          <w:sz w:val="32"/>
          <w:szCs w:val="32"/>
        </w:rPr>
        <w:t>建立以婴幼儿照护服务政策落实情况、目标执行情况等为主要指标的考核评估体系，探索建立“黑白名单”制度，加强动态监管，确保婴幼儿照护服务质量。建立托育机构和从业人员诚信档案，纳入社会信用体系，对虐童等行为零容忍，对相关个人和直接管理人员实行终身禁入。</w:t>
      </w:r>
      <w:r>
        <w:rPr>
          <w:rFonts w:hint="eastAsia" w:ascii="楷体" w:hAnsi="楷体" w:eastAsia="楷体"/>
          <w:sz w:val="32"/>
          <w:szCs w:val="32"/>
        </w:rPr>
        <w:t>（责任部门：区发改局、区卫生健康局）</w:t>
      </w:r>
    </w:p>
    <w:p>
      <w:pPr>
        <w:spacing w:line="550" w:lineRule="exact"/>
        <w:ind w:firstLine="645"/>
        <w:rPr>
          <w:rFonts w:ascii="仿宋" w:hAnsi="仿宋" w:eastAsia="仿宋"/>
          <w:sz w:val="32"/>
          <w:szCs w:val="32"/>
        </w:rPr>
      </w:pPr>
      <w:r>
        <w:rPr>
          <w:rFonts w:hint="eastAsia" w:ascii="仿宋" w:hAnsi="仿宋" w:eastAsia="仿宋"/>
          <w:b/>
          <w:sz w:val="32"/>
          <w:szCs w:val="32"/>
        </w:rPr>
        <w:t>18.加强托育卫生保健工作。</w:t>
      </w:r>
      <w:r>
        <w:rPr>
          <w:rFonts w:hint="eastAsia" w:ascii="仿宋" w:hAnsi="仿宋" w:eastAsia="仿宋"/>
          <w:sz w:val="32"/>
          <w:szCs w:val="32"/>
        </w:rPr>
        <w:t>妇幼保健、疾病控制、卫生执法和社区卫生服务等机构要加强对托育机构卫生保健工作的业务指导、咨询服务和监督检查。参照国家《托儿所幼儿园卫生保健管理办法》规定，建立完善托育机构各项食品安全和卫生保健制度，对托育机构食品安全、儿童膳食、体格锻炼、健康检查、卫生消毒、疾病预防等实行监督管理，保障婴幼儿的身心健康。</w:t>
      </w:r>
      <w:r>
        <w:rPr>
          <w:rFonts w:hint="eastAsia" w:ascii="楷体" w:hAnsi="楷体" w:eastAsia="楷体"/>
          <w:sz w:val="32"/>
          <w:szCs w:val="32"/>
        </w:rPr>
        <w:t>（责任部门：区卫生健康局、区市场监管局）</w:t>
      </w:r>
    </w:p>
    <w:p>
      <w:pPr>
        <w:spacing w:line="550" w:lineRule="exact"/>
        <w:ind w:firstLine="645"/>
        <w:rPr>
          <w:rFonts w:ascii="楷体" w:hAnsi="楷体" w:eastAsia="楷体"/>
          <w:b/>
          <w:sz w:val="32"/>
          <w:szCs w:val="32"/>
        </w:rPr>
      </w:pPr>
      <w:r>
        <w:rPr>
          <w:rFonts w:hint="eastAsia" w:ascii="楷体" w:hAnsi="楷体" w:eastAsia="楷体"/>
          <w:b/>
          <w:sz w:val="32"/>
          <w:szCs w:val="32"/>
        </w:rPr>
        <w:t>（七）打造智慧托育场景应用</w:t>
      </w:r>
    </w:p>
    <w:p>
      <w:pPr>
        <w:spacing w:line="550" w:lineRule="exact"/>
        <w:ind w:firstLine="645"/>
        <w:rPr>
          <w:rFonts w:ascii="仿宋" w:hAnsi="仿宋" w:eastAsia="仿宋"/>
          <w:sz w:val="32"/>
          <w:szCs w:val="32"/>
        </w:rPr>
      </w:pPr>
      <w:r>
        <w:rPr>
          <w:rFonts w:hint="eastAsia" w:ascii="仿宋" w:hAnsi="仿宋" w:eastAsia="仿宋"/>
          <w:b/>
          <w:sz w:val="32"/>
          <w:szCs w:val="32"/>
        </w:rPr>
        <w:t>19.建立托育信息服务平台。</w:t>
      </w:r>
      <w:r>
        <w:rPr>
          <w:rFonts w:hint="eastAsia" w:ascii="仿宋" w:hAnsi="仿宋" w:eastAsia="仿宋"/>
          <w:sz w:val="32"/>
          <w:szCs w:val="32"/>
        </w:rPr>
        <w:t>充分利用互联网、大数据和智能终端设备，</w:t>
      </w:r>
      <w:r>
        <w:rPr>
          <w:rFonts w:ascii="仿宋" w:hAnsi="仿宋" w:eastAsia="仿宋"/>
          <w:sz w:val="32"/>
          <w:szCs w:val="32"/>
        </w:rPr>
        <w:t>依托市智慧托育云平台，建设具有上虞辨识度的“虞快托育”应用场景，</w:t>
      </w:r>
      <w:r>
        <w:rPr>
          <w:rFonts w:hint="eastAsia" w:ascii="仿宋" w:hAnsi="仿宋" w:eastAsia="仿宋"/>
          <w:sz w:val="32"/>
          <w:szCs w:val="32"/>
        </w:rPr>
        <w:t>对托育机构的申办过程、综合监管、信息公开、人员信息以及业务数据等进行信息化管理。迭代完善“浙里办”办托、入托“一件事”事项，实现托育照护服务“掌上办”。</w:t>
      </w:r>
      <w:r>
        <w:rPr>
          <w:rFonts w:hint="eastAsia" w:ascii="楷体" w:hAnsi="楷体" w:eastAsia="楷体"/>
          <w:sz w:val="32"/>
          <w:szCs w:val="32"/>
        </w:rPr>
        <w:t>（责任部门：区卫生健康局、区大数据发展管理中心）</w:t>
      </w:r>
    </w:p>
    <w:p>
      <w:pPr>
        <w:spacing w:line="550" w:lineRule="exact"/>
        <w:ind w:firstLine="645"/>
        <w:rPr>
          <w:rFonts w:ascii="仿宋" w:hAnsi="仿宋" w:eastAsia="仿宋"/>
          <w:sz w:val="32"/>
          <w:szCs w:val="32"/>
        </w:rPr>
      </w:pPr>
      <w:r>
        <w:rPr>
          <w:rFonts w:hint="eastAsia" w:ascii="仿宋" w:hAnsi="仿宋" w:eastAsia="仿宋"/>
          <w:b/>
          <w:sz w:val="32"/>
          <w:szCs w:val="32"/>
        </w:rPr>
        <w:t>20.建设智慧托育监管应用。</w:t>
      </w:r>
      <w:r>
        <w:rPr>
          <w:rFonts w:hint="eastAsia" w:ascii="仿宋" w:hAnsi="仿宋" w:eastAsia="仿宋"/>
          <w:sz w:val="32"/>
          <w:szCs w:val="32"/>
        </w:rPr>
        <w:t>建立婴幼儿资源及健康数据共享，为托育儿童公共服务资源布局提供科学决策依据。探索建立与教育等部门协同应用场景，实现托育数字化监管服务。依托卫生监督“社会监督监测预警平台”和“行政执法精密智控平台”，推进托育机构监管精准执法智能化。</w:t>
      </w:r>
      <w:r>
        <w:rPr>
          <w:rFonts w:hint="eastAsia" w:ascii="楷体" w:hAnsi="楷体" w:eastAsia="楷体"/>
          <w:sz w:val="32"/>
          <w:szCs w:val="32"/>
        </w:rPr>
        <w:t>（责任部门：区卫生健康局、区教体局、区大数据发展管理中心）</w:t>
      </w:r>
    </w:p>
    <w:p>
      <w:pPr>
        <w:spacing w:line="550" w:lineRule="exact"/>
        <w:ind w:firstLine="643" w:firstLineChars="200"/>
        <w:rPr>
          <w:rFonts w:ascii="黑体" w:hAnsi="黑体" w:eastAsia="黑体"/>
          <w:b/>
          <w:sz w:val="32"/>
          <w:szCs w:val="32"/>
        </w:rPr>
      </w:pPr>
      <w:r>
        <w:rPr>
          <w:rFonts w:hint="eastAsia" w:ascii="黑体" w:hAnsi="黑体" w:eastAsia="黑体"/>
          <w:b/>
          <w:sz w:val="32"/>
          <w:szCs w:val="32"/>
        </w:rPr>
        <w:t>三、保障措施</w:t>
      </w:r>
    </w:p>
    <w:p>
      <w:pPr>
        <w:pStyle w:val="5"/>
        <w:widowControl/>
        <w:spacing w:beforeAutospacing="0" w:afterAutospacing="0" w:line="550" w:lineRule="exact"/>
        <w:ind w:firstLine="643" w:firstLineChars="200"/>
        <w:rPr>
          <w:rFonts w:ascii="仿宋" w:hAnsi="仿宋" w:eastAsia="仿宋" w:cstheme="minorBidi"/>
          <w:kern w:val="2"/>
          <w:sz w:val="32"/>
          <w:szCs w:val="32"/>
        </w:rPr>
      </w:pPr>
      <w:r>
        <w:rPr>
          <w:rFonts w:hint="eastAsia" w:ascii="仿宋" w:hAnsi="仿宋" w:eastAsia="仿宋" w:cstheme="minorBidi"/>
          <w:b/>
          <w:kern w:val="2"/>
          <w:sz w:val="32"/>
          <w:szCs w:val="32"/>
        </w:rPr>
        <w:t>1.落实责任，加强组织领导。</w:t>
      </w:r>
      <w:r>
        <w:rPr>
          <w:rFonts w:hint="eastAsia" w:ascii="仿宋" w:hAnsi="仿宋" w:eastAsia="仿宋" w:cstheme="minorBidi"/>
          <w:kern w:val="2"/>
          <w:sz w:val="32"/>
          <w:szCs w:val="32"/>
        </w:rPr>
        <w:t>区政府已建立区婴幼儿照护服务工作领导小组，统筹加强托育机构管理，将婴幼儿照护服务纳入经济社会发展相关规划和属地目标责任考核。加大政策引导力度，加快推进婴幼儿照护服务体系建设，指导乡镇（街道）将普惠性照护服务纳入社区公共服务体系，合理布局婴幼儿照护服务设施和场地建设。</w:t>
      </w:r>
    </w:p>
    <w:p>
      <w:pPr>
        <w:pStyle w:val="5"/>
        <w:widowControl/>
        <w:spacing w:beforeAutospacing="0" w:afterAutospacing="0" w:line="550" w:lineRule="exact"/>
        <w:ind w:firstLine="643" w:firstLineChars="200"/>
        <w:rPr>
          <w:rFonts w:ascii="仿宋" w:hAnsi="仿宋" w:eastAsia="仿宋" w:cstheme="minorBidi"/>
          <w:color w:val="FF0000"/>
          <w:kern w:val="2"/>
          <w:sz w:val="32"/>
          <w:szCs w:val="32"/>
        </w:rPr>
      </w:pPr>
      <w:r>
        <w:rPr>
          <w:rFonts w:hint="eastAsia" w:ascii="仿宋" w:hAnsi="仿宋" w:eastAsia="仿宋" w:cstheme="minorBidi"/>
          <w:b/>
          <w:kern w:val="2"/>
          <w:sz w:val="32"/>
          <w:szCs w:val="32"/>
        </w:rPr>
        <w:t>2.各司其职，加强部门协作。</w:t>
      </w:r>
      <w:r>
        <w:rPr>
          <w:rFonts w:hint="eastAsia" w:ascii="仿宋" w:hAnsi="仿宋" w:eastAsia="仿宋" w:cstheme="minorBidi"/>
          <w:kern w:val="2"/>
          <w:sz w:val="32"/>
          <w:szCs w:val="32"/>
        </w:rPr>
        <w:t>婴幼儿照护服务工作由区卫生健康局牵头，各领导小组成员单位要各司其职，密切配合，加强对婴幼儿照护服务的指导、监督和管理。要健全婴幼儿照护服务工作推进机制，定期研究解决涉及婴幼儿照护服务的重要事项和重大问题，形成政府统筹领导、部门协同推进、社会积极参与的工作格局。托育机构要对自身规范发展和安全管理负主体责任，相关部门和属地镇街按各自职责负监管责任。</w:t>
      </w:r>
    </w:p>
    <w:p>
      <w:pPr>
        <w:pStyle w:val="5"/>
        <w:widowControl/>
        <w:spacing w:beforeAutospacing="0" w:afterAutospacing="0" w:line="550" w:lineRule="exact"/>
        <w:ind w:firstLine="643" w:firstLineChars="200"/>
        <w:rPr>
          <w:rFonts w:ascii="仿宋" w:hAnsi="仿宋" w:eastAsia="仿宋" w:cstheme="minorBidi"/>
          <w:kern w:val="2"/>
          <w:sz w:val="32"/>
          <w:szCs w:val="32"/>
        </w:rPr>
      </w:pPr>
      <w:r>
        <w:rPr>
          <w:rFonts w:hint="eastAsia" w:ascii="仿宋" w:hAnsi="仿宋" w:eastAsia="仿宋" w:cstheme="minorBidi"/>
          <w:b/>
          <w:kern w:val="2"/>
          <w:sz w:val="32"/>
          <w:szCs w:val="32"/>
        </w:rPr>
        <w:t>3.统筹政策，加强要素保障。</w:t>
      </w:r>
      <w:r>
        <w:rPr>
          <w:rFonts w:hint="eastAsia" w:ascii="仿宋" w:hAnsi="仿宋" w:eastAsia="仿宋" w:cstheme="minorBidi"/>
          <w:kern w:val="2"/>
          <w:sz w:val="32"/>
          <w:szCs w:val="32"/>
        </w:rPr>
        <w:t>积极出台优惠政策，支持社会力量举办托育机构。区财政要将婴幼儿照护服务政策性经费纳入财政预算。统筹安排婴幼儿照护服务发展用地需求，将婴幼儿照护服务发展建设用地纳入年度土地供应计划，婴幼儿照护服务设施和非营利性托育机构建设用地符合《划拨用地目录》要求的，可采取划拨方式予以保障；营利性托育机构建设用地，以租赁、出让等有偿方式予以保障。</w:t>
      </w:r>
    </w:p>
    <w:p>
      <w:pPr>
        <w:spacing w:line="550" w:lineRule="exact"/>
        <w:ind w:firstLine="645"/>
        <w:rPr>
          <w:rFonts w:ascii="仿宋" w:hAnsi="仿宋" w:eastAsia="仿宋"/>
          <w:sz w:val="32"/>
          <w:szCs w:val="32"/>
        </w:rPr>
      </w:pPr>
      <w:r>
        <w:rPr>
          <w:rFonts w:hint="eastAsia" w:ascii="仿宋" w:hAnsi="仿宋" w:eastAsia="仿宋"/>
          <w:b/>
          <w:sz w:val="32"/>
          <w:szCs w:val="32"/>
        </w:rPr>
        <w:t>4.示范引领，加强督导检查。</w:t>
      </w:r>
      <w:r>
        <w:rPr>
          <w:rFonts w:hint="eastAsia" w:ascii="仿宋" w:hAnsi="仿宋" w:eastAsia="仿宋"/>
          <w:sz w:val="32"/>
          <w:szCs w:val="32"/>
        </w:rPr>
        <w:t>在全区开展婴幼儿照护服务示范活动，探索建立全区婴幼儿照护服务协会，充分发挥示范引领、协会自律、带动辐射作用。要及时总结推广好的经验和做法，完善相关政策措施。要建立健全业务指导、督促检查、安全保障和责任追究制度，通过组织开展联合执法和运用信息化手段，加强对婴幼儿照护服务的监督管理，确保各项政策措施落到实处。</w:t>
      </w:r>
    </w:p>
    <w:p>
      <w:pPr>
        <w:spacing w:line="560" w:lineRule="exact"/>
        <w:ind w:firstLine="645"/>
        <w:rPr>
          <w:rFonts w:ascii="仿宋" w:hAnsi="仿宋" w:eastAsia="仿宋"/>
          <w:sz w:val="32"/>
          <w:szCs w:val="32"/>
        </w:rPr>
      </w:pPr>
      <w:r>
        <w:rPr>
          <w:rFonts w:ascii="仿宋" w:hAnsi="仿宋" w:eastAsia="仿宋"/>
          <w:sz w:val="32"/>
          <w:szCs w:val="32"/>
        </w:rPr>
        <w:t>本《意见》自发文之日起实施，之前与本《意见》有不一致的，以本《意见》为准。</w:t>
      </w:r>
    </w:p>
    <w:p>
      <w:pPr>
        <w:spacing w:line="560" w:lineRule="exact"/>
        <w:ind w:firstLine="645"/>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附件：绍兴市上虞区婴幼儿照护托位建设任务分解表（2023-2027）</w:t>
      </w:r>
    </w:p>
    <w:p>
      <w:pPr>
        <w:spacing w:line="550" w:lineRule="exact"/>
        <w:rPr>
          <w:rFonts w:ascii="仿宋" w:hAnsi="仿宋" w:eastAsia="仿宋"/>
          <w:sz w:val="32"/>
          <w:szCs w:val="32"/>
        </w:rPr>
      </w:pPr>
    </w:p>
    <w:p>
      <w:pPr>
        <w:spacing w:line="55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附件：</w:t>
      </w:r>
    </w:p>
    <w:p>
      <w:pPr>
        <w:spacing w:line="560" w:lineRule="exact"/>
        <w:jc w:val="center"/>
        <w:rPr>
          <w:rFonts w:ascii="方正小标宋_GBK" w:hAnsi="仿宋" w:eastAsia="方正小标宋_GBK"/>
          <w:b/>
          <w:w w:val="80"/>
          <w:sz w:val="44"/>
          <w:szCs w:val="44"/>
        </w:rPr>
      </w:pPr>
      <w:r>
        <w:rPr>
          <w:rFonts w:hint="eastAsia" w:ascii="方正小标宋_GBK" w:hAnsi="仿宋" w:eastAsia="方正小标宋_GBK"/>
          <w:b/>
          <w:w w:val="85"/>
          <w:sz w:val="44"/>
          <w:szCs w:val="44"/>
        </w:rPr>
        <w:t>绍兴市上虞区婴幼儿照护托位建设任务分解表</w:t>
      </w:r>
      <w:r>
        <w:rPr>
          <w:rFonts w:hint="eastAsia" w:ascii="方正小标宋_GBK" w:hAnsi="仿宋" w:eastAsia="方正小标宋_GBK"/>
          <w:b/>
          <w:w w:val="80"/>
          <w:sz w:val="44"/>
          <w:szCs w:val="44"/>
        </w:rPr>
        <w:t>（2023-2027）</w:t>
      </w:r>
    </w:p>
    <w:tbl>
      <w:tblPr>
        <w:tblStyle w:val="6"/>
        <w:tblW w:w="9079" w:type="dxa"/>
        <w:jc w:val="center"/>
        <w:tblLayout w:type="fixed"/>
        <w:tblCellMar>
          <w:top w:w="0" w:type="dxa"/>
          <w:left w:w="108" w:type="dxa"/>
          <w:bottom w:w="0" w:type="dxa"/>
          <w:right w:w="108" w:type="dxa"/>
        </w:tblCellMar>
      </w:tblPr>
      <w:tblGrid>
        <w:gridCol w:w="877"/>
        <w:gridCol w:w="942"/>
        <w:gridCol w:w="888"/>
        <w:gridCol w:w="851"/>
        <w:gridCol w:w="852"/>
        <w:gridCol w:w="851"/>
        <w:gridCol w:w="854"/>
        <w:gridCol w:w="881"/>
        <w:gridCol w:w="661"/>
        <w:gridCol w:w="701"/>
        <w:gridCol w:w="721"/>
      </w:tblGrid>
      <w:tr>
        <w:tblPrEx>
          <w:tblCellMar>
            <w:top w:w="0" w:type="dxa"/>
            <w:left w:w="108" w:type="dxa"/>
            <w:bottom w:w="0" w:type="dxa"/>
            <w:right w:w="108" w:type="dxa"/>
          </w:tblCellMar>
        </w:tblPrEx>
        <w:trPr>
          <w:trHeight w:val="629" w:hRule="atLeast"/>
          <w:jc w:val="center"/>
        </w:trPr>
        <w:tc>
          <w:tcPr>
            <w:tcW w:w="87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乡镇街道</w:t>
            </w:r>
          </w:p>
        </w:tc>
        <w:tc>
          <w:tcPr>
            <w:tcW w:w="94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常住人口数</w:t>
            </w:r>
          </w:p>
        </w:tc>
        <w:tc>
          <w:tcPr>
            <w:tcW w:w="4296"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2023-2027年度目标托位总数</w:t>
            </w:r>
          </w:p>
        </w:tc>
        <w:tc>
          <w:tcPr>
            <w:tcW w:w="88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普惠性托位占比</w:t>
            </w:r>
          </w:p>
        </w:tc>
        <w:tc>
          <w:tcPr>
            <w:tcW w:w="1362"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公办托育机构（驿站）数</w:t>
            </w:r>
          </w:p>
        </w:tc>
        <w:tc>
          <w:tcPr>
            <w:tcW w:w="72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社会办托育机构数</w:t>
            </w:r>
          </w:p>
        </w:tc>
      </w:tr>
      <w:tr>
        <w:tblPrEx>
          <w:tblCellMar>
            <w:top w:w="0" w:type="dxa"/>
            <w:left w:w="108" w:type="dxa"/>
            <w:bottom w:w="0" w:type="dxa"/>
            <w:right w:w="108" w:type="dxa"/>
          </w:tblCellMar>
        </w:tblPrEx>
        <w:trPr>
          <w:trHeight w:val="755" w:hRule="atLeast"/>
          <w:jc w:val="center"/>
        </w:trPr>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0"/>
                <w:szCs w:val="20"/>
              </w:rPr>
            </w:pPr>
          </w:p>
        </w:tc>
        <w:tc>
          <w:tcPr>
            <w:tcW w:w="9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0"/>
                <w:szCs w:val="20"/>
              </w:rPr>
            </w:pP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2023年(4.0)</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2024年(4.3)</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2025年(4.6)</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2026年(5.0)</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2027年(5.5)</w:t>
            </w: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s="宋体"/>
                <w:color w:val="000000"/>
                <w:kern w:val="0"/>
                <w:sz w:val="20"/>
                <w:szCs w:val="20"/>
              </w:rPr>
            </w:pPr>
          </w:p>
        </w:tc>
        <w:tc>
          <w:tcPr>
            <w:tcW w:w="66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单位办托</w:t>
            </w:r>
          </w:p>
        </w:tc>
        <w:tc>
          <w:tcPr>
            <w:tcW w:w="70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社区办托</w:t>
            </w: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0"/>
                <w:szCs w:val="20"/>
              </w:rPr>
            </w:pP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百官</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199426</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798</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858</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917</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997</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1097</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8</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曹娥</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103149</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413</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444</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474</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516</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567</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6</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东关</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35104</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140</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151</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161</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176</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193</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道墟</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37183</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149</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160</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171</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186</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205</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小越</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35374</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141</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152</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163</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177</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195</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梁湖</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29468</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118</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127</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136</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147</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162</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崧厦</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96898</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388</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417</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446</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484</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533</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章镇</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28730</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115</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124</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132</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144</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158</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丰惠</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44109</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176</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190</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203</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221</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243</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上浦</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17568</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76</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81</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88</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97</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汤浦</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14487</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58</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62</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67</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72</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80</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永和</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12618</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54</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58</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63</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69</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　</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驿亭</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19838</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79</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85</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91</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99</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109</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谢塘</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28008</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112</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120</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129</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140</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154</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盖北</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32831</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131</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141</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151</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164</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181</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1</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长塘</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9981</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40</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43</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46</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55</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　</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岭南</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5321</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23</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27</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29</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　</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陈溪</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4276</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18</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21</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　</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下管</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6558</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26</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30</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33</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36</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　</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丁宅</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6657</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27</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29</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31</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33</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37</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　</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杭州湾</w:t>
            </w:r>
          </w:p>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综管办</w:t>
            </w:r>
          </w:p>
        </w:tc>
        <w:tc>
          <w:tcPr>
            <w:tcW w:w="94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18360</w:t>
            </w:r>
          </w:p>
        </w:tc>
        <w:tc>
          <w:tcPr>
            <w:tcW w:w="88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73</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79</w:t>
            </w:r>
          </w:p>
        </w:tc>
        <w:tc>
          <w:tcPr>
            <w:tcW w:w="852"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84</w:t>
            </w:r>
          </w:p>
        </w:tc>
        <w:tc>
          <w:tcPr>
            <w:tcW w:w="85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92</w:t>
            </w:r>
          </w:p>
        </w:tc>
        <w:tc>
          <w:tcPr>
            <w:tcW w:w="85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101</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　</w:t>
            </w:r>
          </w:p>
        </w:tc>
      </w:tr>
      <w:tr>
        <w:tblPrEx>
          <w:tblCellMar>
            <w:top w:w="0" w:type="dxa"/>
            <w:left w:w="108" w:type="dxa"/>
            <w:bottom w:w="0" w:type="dxa"/>
            <w:right w:w="108" w:type="dxa"/>
          </w:tblCellMar>
        </w:tblPrEx>
        <w:trPr>
          <w:trHeight w:val="425" w:hRule="atLeast"/>
          <w:jc w:val="center"/>
        </w:trPr>
        <w:tc>
          <w:tcPr>
            <w:tcW w:w="877"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全区</w:t>
            </w:r>
          </w:p>
        </w:tc>
        <w:tc>
          <w:tcPr>
            <w:tcW w:w="94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785944</w:t>
            </w:r>
          </w:p>
        </w:tc>
        <w:tc>
          <w:tcPr>
            <w:tcW w:w="88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3142</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3381</w:t>
            </w:r>
          </w:p>
        </w:tc>
        <w:tc>
          <w:tcPr>
            <w:tcW w:w="85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3615</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3930</w:t>
            </w:r>
          </w:p>
        </w:tc>
        <w:tc>
          <w:tcPr>
            <w:tcW w:w="85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4325</w:t>
            </w:r>
          </w:p>
        </w:tc>
        <w:tc>
          <w:tcPr>
            <w:tcW w:w="88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＞70%</w:t>
            </w:r>
          </w:p>
        </w:tc>
        <w:tc>
          <w:tcPr>
            <w:tcW w:w="66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70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24</w:t>
            </w:r>
          </w:p>
        </w:tc>
        <w:tc>
          <w:tcPr>
            <w:tcW w:w="72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28</w:t>
            </w:r>
          </w:p>
        </w:tc>
      </w:tr>
    </w:tbl>
    <w:p>
      <w:pPr>
        <w:spacing w:line="400" w:lineRule="exact"/>
        <w:jc w:val="left"/>
        <w:rPr>
          <w:rFonts w:ascii="仿宋" w:hAnsi="仿宋" w:eastAsia="仿宋"/>
          <w:color w:val="000000"/>
          <w:sz w:val="30"/>
          <w:szCs w:val="30"/>
          <w:lang w:val="zh-CN"/>
        </w:rPr>
      </w:pPr>
      <w:r>
        <w:rPr>
          <w:rFonts w:hint="eastAsia" w:ascii="仿宋" w:hAnsi="仿宋" w:eastAsia="仿宋"/>
          <w:color w:val="000000"/>
          <w:sz w:val="30"/>
          <w:szCs w:val="30"/>
          <w:lang w:val="zh-CN"/>
        </w:rPr>
        <w:t>注：1.完成托位数以完成登记备案为准。</w:t>
      </w:r>
    </w:p>
    <w:p>
      <w:pPr>
        <w:spacing w:line="400" w:lineRule="exact"/>
        <w:jc w:val="left"/>
        <w:rPr>
          <w:rFonts w:ascii="仿宋" w:hAnsi="仿宋" w:eastAsia="仿宋"/>
          <w:sz w:val="30"/>
          <w:szCs w:val="30"/>
        </w:rPr>
      </w:pPr>
      <w:r>
        <w:rPr>
          <w:rFonts w:hint="eastAsia" w:ascii="仿宋" w:hAnsi="仿宋" w:eastAsia="仿宋"/>
          <w:color w:val="000000"/>
          <w:sz w:val="30"/>
          <w:szCs w:val="30"/>
          <w:lang w:val="zh-CN"/>
        </w:rPr>
        <w:t xml:space="preserve">    2.公办和社会办托育机构任务数以每年度下发任务数为准</w:t>
      </w:r>
      <w:r>
        <w:rPr>
          <w:rFonts w:ascii="仿宋" w:hAnsi="仿宋" w:eastAsia="仿宋"/>
          <w:color w:val="000000"/>
          <w:sz w:val="30"/>
          <w:szCs w:val="30"/>
        </w:rPr>
        <w:t>。</w:t>
      </w:r>
    </w:p>
    <w:sectPr>
      <w:footerReference r:id="rId3"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5294286"/>
    </w:sdtPr>
    <w:sdtContent>
      <w:p>
        <w:pPr>
          <w:pStyle w:val="3"/>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MThjNDA1NWFlOTk2MTQ4YmFhN2YwNjQ3ZmVlYmUifQ=="/>
  </w:docVars>
  <w:rsids>
    <w:rsidRoot w:val="00676381"/>
    <w:rsid w:val="000050EC"/>
    <w:rsid w:val="000143D4"/>
    <w:rsid w:val="00017614"/>
    <w:rsid w:val="00021B7F"/>
    <w:rsid w:val="00060B09"/>
    <w:rsid w:val="00066097"/>
    <w:rsid w:val="00067199"/>
    <w:rsid w:val="000B009C"/>
    <w:rsid w:val="00100A55"/>
    <w:rsid w:val="00101BE2"/>
    <w:rsid w:val="001324CB"/>
    <w:rsid w:val="001342E2"/>
    <w:rsid w:val="00137849"/>
    <w:rsid w:val="00142993"/>
    <w:rsid w:val="00190A20"/>
    <w:rsid w:val="001951A7"/>
    <w:rsid w:val="001B0A66"/>
    <w:rsid w:val="001B68D1"/>
    <w:rsid w:val="00201849"/>
    <w:rsid w:val="00206FA2"/>
    <w:rsid w:val="0021225B"/>
    <w:rsid w:val="002F30EE"/>
    <w:rsid w:val="002F3874"/>
    <w:rsid w:val="002F5B5C"/>
    <w:rsid w:val="002F605E"/>
    <w:rsid w:val="003038B6"/>
    <w:rsid w:val="00333612"/>
    <w:rsid w:val="003513C8"/>
    <w:rsid w:val="00357889"/>
    <w:rsid w:val="003A741E"/>
    <w:rsid w:val="003C27C5"/>
    <w:rsid w:val="003C64F4"/>
    <w:rsid w:val="003D2850"/>
    <w:rsid w:val="004849A7"/>
    <w:rsid w:val="00495B8F"/>
    <w:rsid w:val="004A4102"/>
    <w:rsid w:val="004D0AD3"/>
    <w:rsid w:val="004F2B53"/>
    <w:rsid w:val="005156D0"/>
    <w:rsid w:val="00551391"/>
    <w:rsid w:val="005820A3"/>
    <w:rsid w:val="005B0753"/>
    <w:rsid w:val="005B6B9C"/>
    <w:rsid w:val="005C0282"/>
    <w:rsid w:val="005E0BBA"/>
    <w:rsid w:val="005E17F0"/>
    <w:rsid w:val="00621E7B"/>
    <w:rsid w:val="006268EF"/>
    <w:rsid w:val="00654480"/>
    <w:rsid w:val="00674137"/>
    <w:rsid w:val="00676381"/>
    <w:rsid w:val="00687934"/>
    <w:rsid w:val="00694F78"/>
    <w:rsid w:val="00695CD7"/>
    <w:rsid w:val="006E6C78"/>
    <w:rsid w:val="00753E10"/>
    <w:rsid w:val="00790D39"/>
    <w:rsid w:val="007A13B4"/>
    <w:rsid w:val="007B157B"/>
    <w:rsid w:val="007E302C"/>
    <w:rsid w:val="007E4783"/>
    <w:rsid w:val="007E63D6"/>
    <w:rsid w:val="0083488D"/>
    <w:rsid w:val="008552BD"/>
    <w:rsid w:val="008576CF"/>
    <w:rsid w:val="00864905"/>
    <w:rsid w:val="00893418"/>
    <w:rsid w:val="008D15B1"/>
    <w:rsid w:val="00902E1B"/>
    <w:rsid w:val="00905177"/>
    <w:rsid w:val="009073D9"/>
    <w:rsid w:val="00921E78"/>
    <w:rsid w:val="00930437"/>
    <w:rsid w:val="00942255"/>
    <w:rsid w:val="00990EEA"/>
    <w:rsid w:val="009925D6"/>
    <w:rsid w:val="009D59C5"/>
    <w:rsid w:val="00A009FF"/>
    <w:rsid w:val="00A11151"/>
    <w:rsid w:val="00A25880"/>
    <w:rsid w:val="00A30635"/>
    <w:rsid w:val="00A45EFF"/>
    <w:rsid w:val="00A62FF9"/>
    <w:rsid w:val="00AA209E"/>
    <w:rsid w:val="00AB0C55"/>
    <w:rsid w:val="00AC294D"/>
    <w:rsid w:val="00AC2B82"/>
    <w:rsid w:val="00AC7E72"/>
    <w:rsid w:val="00AE7439"/>
    <w:rsid w:val="00AF74C7"/>
    <w:rsid w:val="00B06CCA"/>
    <w:rsid w:val="00B5566C"/>
    <w:rsid w:val="00B60787"/>
    <w:rsid w:val="00B611A0"/>
    <w:rsid w:val="00B66976"/>
    <w:rsid w:val="00B679A7"/>
    <w:rsid w:val="00B8526A"/>
    <w:rsid w:val="00BC3BC9"/>
    <w:rsid w:val="00BC772B"/>
    <w:rsid w:val="00BD36E2"/>
    <w:rsid w:val="00BD573E"/>
    <w:rsid w:val="00BF7CD3"/>
    <w:rsid w:val="00C0772F"/>
    <w:rsid w:val="00C24D65"/>
    <w:rsid w:val="00C34A39"/>
    <w:rsid w:val="00C42B02"/>
    <w:rsid w:val="00C42ECD"/>
    <w:rsid w:val="00C70002"/>
    <w:rsid w:val="00CA4F54"/>
    <w:rsid w:val="00CB1C5A"/>
    <w:rsid w:val="00CC5526"/>
    <w:rsid w:val="00D05F26"/>
    <w:rsid w:val="00D101C1"/>
    <w:rsid w:val="00D1346C"/>
    <w:rsid w:val="00D53E15"/>
    <w:rsid w:val="00D93702"/>
    <w:rsid w:val="00D97FDF"/>
    <w:rsid w:val="00DA4271"/>
    <w:rsid w:val="00DC5254"/>
    <w:rsid w:val="00E01E71"/>
    <w:rsid w:val="00E6089F"/>
    <w:rsid w:val="00E6344F"/>
    <w:rsid w:val="00E65174"/>
    <w:rsid w:val="00ED2E33"/>
    <w:rsid w:val="00EE2FF2"/>
    <w:rsid w:val="00EF2041"/>
    <w:rsid w:val="00F13CEC"/>
    <w:rsid w:val="00F42A02"/>
    <w:rsid w:val="00F51EAF"/>
    <w:rsid w:val="00F74F3D"/>
    <w:rsid w:val="00F825DE"/>
    <w:rsid w:val="1F007333"/>
    <w:rsid w:val="3FDB639E"/>
    <w:rsid w:val="53106096"/>
    <w:rsid w:val="DDDF7949"/>
    <w:rsid w:val="FCBF3B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time"/>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1132</Words>
  <Characters>6456</Characters>
  <Lines>53</Lines>
  <Paragraphs>15</Paragraphs>
  <TotalTime>1</TotalTime>
  <ScaleCrop>false</ScaleCrop>
  <LinksUpToDate>false</LinksUpToDate>
  <CharactersWithSpaces>7573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2023-06-30T12:44:00Z</dcterms:created>
  <dc:creator>Lenovo</dc:creator>
  <cp:lastModifiedBy>wjj</cp:lastModifiedBy>
  <cp:lastPrinted>2023-06-30T15:18:00Z</cp:lastPrinted>
  <dcterms:modified xsi:type="dcterms:W3CDTF">2023-11-09T15:00:10Z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5C61B6261D0D4B52AED6D3032C7B77E9_12</vt:lpwstr>
  </property>
</Properties>
</file>