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outlineLvl w:val="0"/>
        <w:rPr>
          <w:rFonts w:hint="default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《关于推进中欧班列集结中心高质量发展的行动方案》起草情况的说明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1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党的二十大提出，高质量发展是全面建设社会主义现代化国家的首要任务，必须完整、准确、全面贯彻新发展理念，坚持社会主义市场经济改革方向，坚持高水平对外开放，加快构建以国内大循环为主体、国内国际双循环相互促进的新发展格局。中欧班列作为一种新型的货物运输和物流组织方式，连接亚欧大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辽阔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空间范围内的生产和消费，承载沿线国家的资源与要素流动，是国际贸易运输体系中具有创新性的重要补充，是现代流通体系中极为重要的组成部分。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为加快打造国际</w:t>
      </w:r>
      <w:r>
        <w:rPr>
          <w:rFonts w:hint="eastAsia" w:ascii="仿宋_GB2312" w:hAnsi="仿宋_GB2312" w:eastAsia="仿宋_GB2312" w:cs="仿宋_GB2312"/>
          <w:sz w:val="32"/>
          <w:szCs w:val="32"/>
        </w:rPr>
        <w:t>一流、全国领先的中欧班列集结中心，根据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省政府办公厅印发的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《关于推进中欧班列集结中心高质量建设的实施意见》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，出台《关于推进中欧班列集结中心高质量发展的行动方案</w:t>
      </w:r>
      <w:r>
        <w:rPr>
          <w:rFonts w:hint="eastAsia" w:ascii="仿宋_GB2312" w:hAnsi="仿宋_GB2312" w:cs="仿宋_GB2312"/>
          <w:sz w:val="32"/>
          <w:szCs w:val="36"/>
          <w:lang w:val="en-US" w:eastAsia="zh-CN"/>
        </w:rPr>
        <w:t>》（以下简称《行动方案》）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全面指导集结中心高质量建设相关工作，显得尤为迫切和必要。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1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二、《行动方案》起草过程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default" w:ascii="仿宋_GB2312" w:hAnsi="仿宋_GB2312" w:cs="仿宋_GB2312"/>
          <w:b w:val="0"/>
          <w:bCs w:val="0"/>
          <w:sz w:val="32"/>
          <w:lang w:eastAsia="zh-CN"/>
          <w:woUserID w:val="1"/>
        </w:rPr>
        <w:t>2024年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月中旬起草形成《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行动方案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》初稿，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征求各市级部门和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相关企业意见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，经修改完善形成公开征求社会公众意见稿。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1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三、《行动方案》主要内容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《</w:t>
      </w:r>
      <w:r>
        <w:rPr>
          <w:rFonts w:hint="eastAsia"/>
          <w:lang w:val="en-US" w:eastAsia="zh-CN"/>
        </w:rPr>
        <w:t>行动方案</w:t>
      </w:r>
      <w:r>
        <w:rPr>
          <w:rFonts w:hint="eastAsia" w:ascii="Times New Roman" w:hAnsi="Times New Roman" w:eastAsia="仿宋_GB2312" w:cs="Times New Roman"/>
          <w:sz w:val="32"/>
        </w:rPr>
        <w:t>》主要包括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</w:rPr>
        <w:t>部分内容，分别是“总体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要求</w:t>
      </w:r>
      <w:r>
        <w:rPr>
          <w:rFonts w:hint="eastAsia" w:ascii="Times New Roman" w:hAnsi="Times New Roman" w:eastAsia="仿宋_GB2312" w:cs="Times New Roman"/>
          <w:sz w:val="32"/>
        </w:rPr>
        <w:t>”、“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重点</w:t>
      </w:r>
      <w:r>
        <w:rPr>
          <w:rFonts w:hint="eastAsia" w:ascii="Times New Roman" w:hAnsi="Times New Roman" w:eastAsia="仿宋_GB2312" w:cs="Times New Roman"/>
          <w:sz w:val="32"/>
        </w:rPr>
        <w:t>任务”和“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保障措施</w:t>
      </w:r>
      <w:r>
        <w:rPr>
          <w:rFonts w:hint="eastAsia" w:ascii="Times New Roman" w:hAnsi="Times New Roman" w:eastAsia="仿宋_GB2312" w:cs="Times New Roman"/>
          <w:sz w:val="32"/>
        </w:rPr>
        <w:t>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第一部分“总体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”，主要是明确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了指导思想、基本原则及2027年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提出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到202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年，浙江中欧班列集结中心开放带动能力显著增强，浙江中欧班列“一个品牌、一个平台、一套机制”运作水平有效提升，中欧班列开行数力争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达到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3500列，回程班列占比达40%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，境外分拨中心数量达5个，基本实现一流设施网络、一流物流体系、一流管理能力、一流服务水平。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第二部分“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任务”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围绕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场站能力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多式联运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平台融合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多元国际通道、集货能力、安全治理、创新发展、要素支撑8方面内容，梳理形成25项重点任务。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一是开展场站能力提升行动，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提质升级核心基础设施、完善国际“枢纽对枢纽”布局、建设国际“多国多园”平台3项任务，打造中欧班列集结平台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二是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多式联运畅通行动，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强化铁路运输能力、强化公路集疏运能力、强化水运中转能力、强化民航支撑能力4项任务，扩展中欧班列集散通道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三是开展平台融合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lang w:val="en-US" w:eastAsia="zh-CN"/>
        </w:rPr>
        <w:t>提质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行动，通过深化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运营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机制、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提能运营平台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、拓展多元业务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、塑造品牌形象4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项任务，打造中欧班列市场化运行典范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四是开展多元国际通道拓展行动，通过拓展“多廊多路”通道、构建差异化服务体系、联通海铁出境通道3项任务，放大中欧办理集成效应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五是开展集货能力提升行动，通过拓展客户群体、构建多元集货体系、打造数字服务平台3项任务，提升中欧班列集货能力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六是开展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护航行动，通过健全治理体系、强化法律服务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2项任务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，增强中欧班列发展韧性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七是开展“班列+”创新发展行动，实施“班列+产业”、“班列+贸易”、“班列+金融创新”、“班列+人文交流”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项任务，推动中欧班列创新发展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八是开展要素支撑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行动，通过提升口岸开放和便利化水平、提升人才引育力度</w:t>
      </w:r>
      <w:r>
        <w:rPr>
          <w:rFonts w:hint="eastAsia" w:ascii="仿宋_GB2312" w:hAnsi="仿宋_GB2312" w:cs="仿宋_GB2312"/>
          <w:b w:val="0"/>
          <w:bCs w:val="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项任务，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lang w:val="en-US" w:eastAsia="zh-CN"/>
        </w:rPr>
        <w:t>有力保障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中欧班列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lang w:val="en-US" w:eastAsia="zh-CN"/>
        </w:rPr>
        <w:t>安全稳定畅通运行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第三部分“保障措施”，包括4个加强，加强统筹协调，构建推进工作机制，统筹推进集结中心建设事宜；加强政策储备，研究制定支持政策，争取政策支持；强化监测评估，加强重点任务实施情况的跟踪监测；加强政策引导，营造良好氛围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－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－  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4200"/>
        <w:tab w:val="left" w:pos="4620"/>
        <w:tab w:val="clear" w:pos="8306"/>
      </w:tabs>
      <w:ind w:firstLine="360"/>
      <w:jc w:val="left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E6FDE"/>
    <w:rsid w:val="0C3E6FDE"/>
    <w:rsid w:val="129C638C"/>
    <w:rsid w:val="147B3473"/>
    <w:rsid w:val="1CD37257"/>
    <w:rsid w:val="20313343"/>
    <w:rsid w:val="2653529A"/>
    <w:rsid w:val="342A2E10"/>
    <w:rsid w:val="36AF8C27"/>
    <w:rsid w:val="371A481E"/>
    <w:rsid w:val="37BEB335"/>
    <w:rsid w:val="3EFDEF1A"/>
    <w:rsid w:val="3FBBFBD0"/>
    <w:rsid w:val="4A96376E"/>
    <w:rsid w:val="54A4265F"/>
    <w:rsid w:val="56FB9A03"/>
    <w:rsid w:val="59295EF2"/>
    <w:rsid w:val="5DAD3649"/>
    <w:rsid w:val="5E332724"/>
    <w:rsid w:val="61F701A2"/>
    <w:rsid w:val="6F3F4A10"/>
    <w:rsid w:val="75BD8FB8"/>
    <w:rsid w:val="773C4DFB"/>
    <w:rsid w:val="7A2D404F"/>
    <w:rsid w:val="7FE7FB01"/>
    <w:rsid w:val="7FFBE5F9"/>
    <w:rsid w:val="B7EC5993"/>
    <w:rsid w:val="BDBFA74F"/>
    <w:rsid w:val="BFFB2B50"/>
    <w:rsid w:val="DCF8D863"/>
    <w:rsid w:val="F3FDD8F3"/>
    <w:rsid w:val="F7FEEE74"/>
    <w:rsid w:val="F8AE9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firstLine="880"/>
    </w:pPr>
    <w:rPr>
      <w:rFonts w:hint="eastAsia" w:ascii="仿宋" w:hAnsi="仿宋" w:eastAsia="楷体_GB2312"/>
      <w:sz w:val="3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2330</Words>
  <Characters>2356</Characters>
  <Lines>0</Lines>
  <Paragraphs>0</Paragraphs>
  <TotalTime>1</TotalTime>
  <ScaleCrop>false</ScaleCrop>
  <LinksUpToDate>false</LinksUpToDate>
  <CharactersWithSpaces>2356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2024-11-28T15:50:00Z</dcterms:created>
  <dc:creator>张秋石</dc:creator>
  <cp:lastModifiedBy>uos</cp:lastModifiedBy>
  <cp:lastPrinted>2025-02-20T14:19:00Z</cp:lastPrinted>
  <dcterms:modified xsi:type="dcterms:W3CDTF">2025-02-21T10:38:49Z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2CC9C5B084BE4E299553C28EE30370F6_11</vt:lpwstr>
  </property>
  <property fmtid="{D5CDD505-2E9C-101B-9397-08002B2CF9AE}" pid="4" name="KSOTemplateDocerSaveRecord">
    <vt:lpwstr>eyJoZGlkIjoiYjJjOTQxYzhjODMyMDAzZmE0MDJkMWFkNmJlNDkwYTUiLCJ1c2VySWQiOiIxMTk5NTkxNzY1In0=</vt:lpwstr>
  </property>
</Properties>
</file>