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pPr>
        <w:pStyle w:val="6"/>
      </w:pPr>
    </w:p>
    <w:p>
      <w:pPr>
        <w:spacing w:line="58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金华市巡游出租汽车企业服务质量</w:t>
      </w:r>
    </w:p>
    <w:p>
      <w:pPr>
        <w:spacing w:line="58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信誉考核评分标准</w:t>
      </w:r>
    </w:p>
    <w:tbl>
      <w:tblPr>
        <w:tblStyle w:val="7"/>
        <w:tblW w:w="9360" w:type="dxa"/>
        <w:tblInd w:w="0" w:type="dxa"/>
        <w:tblLayout w:type="fixed"/>
        <w:tblCellMar>
          <w:top w:w="0" w:type="dxa"/>
          <w:left w:w="108" w:type="dxa"/>
          <w:bottom w:w="0" w:type="dxa"/>
          <w:right w:w="108" w:type="dxa"/>
        </w:tblCellMar>
      </w:tblPr>
      <w:tblGrid>
        <w:gridCol w:w="560"/>
        <w:gridCol w:w="848"/>
        <w:gridCol w:w="1072"/>
        <w:gridCol w:w="6880"/>
      </w:tblGrid>
      <w:tr>
        <w:tblPrEx>
          <w:tblCellMar>
            <w:top w:w="0" w:type="dxa"/>
            <w:left w:w="108" w:type="dxa"/>
            <w:bottom w:w="0" w:type="dxa"/>
            <w:right w:w="108" w:type="dxa"/>
          </w:tblCellMar>
        </w:tblPrEx>
        <w:trPr>
          <w:trHeight w:val="409" w:hRule="atLeast"/>
          <w:tblHeader/>
        </w:trPr>
        <w:tc>
          <w:tcPr>
            <w:tcW w:w="1408" w:type="dxa"/>
            <w:gridSpan w:val="2"/>
            <w:tcBorders>
              <w:top w:val="single" w:color="auto" w:sz="18" w:space="0"/>
              <w:left w:val="single" w:color="auto" w:sz="1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考核项目</w:t>
            </w:r>
          </w:p>
        </w:tc>
        <w:tc>
          <w:tcPr>
            <w:tcW w:w="1072" w:type="dxa"/>
            <w:tcBorders>
              <w:top w:val="single" w:color="auto" w:sz="1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考核分值</w:t>
            </w:r>
          </w:p>
        </w:tc>
        <w:tc>
          <w:tcPr>
            <w:tcW w:w="6880" w:type="dxa"/>
            <w:tcBorders>
              <w:top w:val="single" w:color="auto" w:sz="18" w:space="0"/>
              <w:left w:val="nil"/>
              <w:bottom w:val="single" w:color="auto" w:sz="4" w:space="0"/>
              <w:right w:val="single" w:color="auto" w:sz="18"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评分标准</w:t>
            </w:r>
          </w:p>
        </w:tc>
      </w:tr>
      <w:tr>
        <w:tblPrEx>
          <w:tblCellMar>
            <w:top w:w="0" w:type="dxa"/>
            <w:left w:w="108" w:type="dxa"/>
            <w:bottom w:w="0" w:type="dxa"/>
            <w:right w:w="108" w:type="dxa"/>
          </w:tblCellMar>
        </w:tblPrEx>
        <w:trPr>
          <w:trHeight w:val="926" w:hRule="atLeast"/>
        </w:trPr>
        <w:tc>
          <w:tcPr>
            <w:tcW w:w="560" w:type="dxa"/>
            <w:vMerge w:val="restart"/>
            <w:tcBorders>
              <w:top w:val="nil"/>
              <w:left w:val="single" w:color="auto" w:sz="18"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企业管理280分</w:t>
            </w:r>
          </w:p>
        </w:tc>
        <w:tc>
          <w:tcPr>
            <w:tcW w:w="8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管理制度</w:t>
            </w: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nil"/>
              <w:left w:val="single" w:color="auto" w:sz="4" w:space="0"/>
              <w:bottom w:val="single" w:color="000000"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内部管理制度（包括安全生产管理制度、车辆维护制度、车载设施设备检查维护制度、24小时值班制度、投诉处理制度、失物招领制度、服务质量管理制度、教育培训制度等）缺失的，缺一项扣5分；未落实制度的每例扣5分。</w:t>
            </w:r>
            <w:bookmarkStart w:id="0" w:name="_GoBack"/>
            <w:bookmarkEnd w:id="0"/>
          </w:p>
        </w:tc>
      </w:tr>
      <w:tr>
        <w:tblPrEx>
          <w:tblCellMar>
            <w:top w:w="0" w:type="dxa"/>
            <w:left w:w="108" w:type="dxa"/>
            <w:bottom w:w="0" w:type="dxa"/>
            <w:right w:w="108" w:type="dxa"/>
          </w:tblCellMar>
        </w:tblPrEx>
        <w:trPr>
          <w:trHeight w:val="2294"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建立执行定期回场检查车辆制度。对回场车辆的车况车貌进行检查整改，对车内外未经行业批准张贴的小广告、座套破损及污渍进行检查，车载智能终端设备是否能正常使用进行检查，对计价器、灭火器、安全带等是否按期检定、能否正常使用进行检查，回场时对驾驶员开展服务质量、安全知识等教育。要求回场检查制度向出租汽车管理处备案，有检查整改记录台账（台账登记时间、地点、车号、驾驶员、检查内容、教育内容、整改要求）。</w:t>
            </w:r>
          </w:p>
          <w:p>
            <w:pPr>
              <w:pStyle w:val="6"/>
              <w:ind w:left="0" w:leftChars="0" w:firstLine="0" w:firstLineChars="0"/>
              <w:rPr>
                <w:rFonts w:ascii="仿宋_GB2312" w:eastAsia="仿宋_GB2312"/>
                <w:color w:val="auto"/>
                <w:szCs w:val="21"/>
              </w:rPr>
            </w:pPr>
            <w:r>
              <w:rPr>
                <w:rFonts w:hint="eastAsia" w:ascii="仿宋_GB2312" w:eastAsia="仿宋_GB2312"/>
                <w:color w:val="auto"/>
                <w:szCs w:val="21"/>
              </w:rPr>
              <w:t>无检查整改记录的扣10分；检查整改记录与实际不符的，每例扣5分；未对回场车辆进行检查或存在检查走形式、检查整改未到位等情况每例扣5分；没有按要求开展教育的，每例扣5分。</w:t>
            </w:r>
          </w:p>
        </w:tc>
      </w:tr>
      <w:tr>
        <w:tblPrEx>
          <w:tblCellMar>
            <w:top w:w="0" w:type="dxa"/>
            <w:left w:w="108" w:type="dxa"/>
            <w:bottom w:w="0" w:type="dxa"/>
            <w:right w:w="108" w:type="dxa"/>
          </w:tblCellMar>
        </w:tblPrEx>
        <w:trPr>
          <w:trHeight w:val="720"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档案管理</w:t>
            </w:r>
          </w:p>
        </w:tc>
        <w:tc>
          <w:tcPr>
            <w:tcW w:w="10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建立营运车辆档案（车辆档案要求一车一档，档案含有车辆登记证、行驶证、营运证、车辆技术档案、保险资料等内容，能反映车号、车型、上牌时间、车辆报废更新情况。）、驾驶员服务质量信誉档案（驾驶员服务质量信誉档案要求一人一档，有驾驶员的基本情况，包括姓名、性别、驾驶证、身份证、住址、从业资格证、聘用合同、服务质量信誉考核记录等信息。）。</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缺少一项档案扣10分；档案内容缺失或内容不准确的，每档扣10分；</w:t>
            </w:r>
          </w:p>
        </w:tc>
      </w:tr>
      <w:tr>
        <w:tblPrEx>
          <w:tblCellMar>
            <w:top w:w="0" w:type="dxa"/>
            <w:left w:w="108" w:type="dxa"/>
            <w:bottom w:w="0" w:type="dxa"/>
            <w:right w:w="108" w:type="dxa"/>
          </w:tblCellMar>
        </w:tblPrEx>
        <w:trPr>
          <w:trHeight w:val="720"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车辆与驾驶员台账（包括记录车辆车号、车型、上牌时间、保险、事故、违章等信息；准确记录当班驾驶员姓名、从业资格证号码、联系电话，并能确保根据台账的记载准确、迅速联系到当班驾驶员）记录信息不准确的，有遗漏、错误或未及时更正的，每例扣10分。</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合同管理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nil"/>
              <w:left w:val="nil"/>
              <w:bottom w:val="single" w:color="auto" w:sz="4" w:space="0"/>
              <w:right w:val="single" w:color="auto" w:sz="18" w:space="0"/>
            </w:tcBorders>
            <w:shd w:val="clear" w:color="auto" w:fill="auto"/>
            <w:vAlign w:val="center"/>
          </w:tcPr>
          <w:p>
            <w:pPr>
              <w:pStyle w:val="6"/>
              <w:ind w:left="0" w:leftChars="0" w:firstLine="0" w:firstLineChars="0"/>
              <w:rPr>
                <w:rFonts w:ascii="仿宋_GB2312" w:eastAsia="仿宋_GB2312"/>
                <w:color w:val="auto"/>
                <w:szCs w:val="21"/>
              </w:rPr>
            </w:pPr>
            <w:r>
              <w:rPr>
                <w:rFonts w:hint="eastAsia" w:ascii="仿宋_GB2312" w:hAnsi="宋体" w:eastAsia="仿宋_GB2312" w:cs="宋体"/>
                <w:color w:val="auto"/>
                <w:kern w:val="0"/>
                <w:szCs w:val="21"/>
              </w:rPr>
              <w:t>未按要求签订劳动合同或经营合同或未按要求使用规范合同文本、改变规定经营模式的，每例扣10分。</w:t>
            </w:r>
          </w:p>
        </w:tc>
      </w:tr>
      <w:tr>
        <w:tblPrEx>
          <w:tblCellMar>
            <w:top w:w="0" w:type="dxa"/>
            <w:left w:w="108" w:type="dxa"/>
            <w:bottom w:w="0" w:type="dxa"/>
            <w:right w:w="108" w:type="dxa"/>
          </w:tblCellMar>
        </w:tblPrEx>
        <w:trPr>
          <w:trHeight w:val="1580"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驾驶员权益保障</w:t>
            </w: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不按规定收费、拖延归还押金、发生将本该由企业承担的费用转嫁给驾驶员等侵害驾驶员权益等行为的，每例扣10分</w:t>
            </w:r>
            <w:r>
              <w:rPr>
                <w:rFonts w:hint="eastAsia" w:ascii="仿宋_GB2312" w:hAnsi="宋体" w:eastAsia="仿宋_GB2312" w:cs="宋体"/>
                <w:color w:val="auto"/>
                <w:kern w:val="0"/>
                <w:szCs w:val="21"/>
                <w:lang w:eastAsia="zh-CN"/>
              </w:rPr>
              <w:t>。</w:t>
            </w:r>
          </w:p>
        </w:tc>
      </w:tr>
      <w:tr>
        <w:tblPrEx>
          <w:tblCellMar>
            <w:top w:w="0" w:type="dxa"/>
            <w:left w:w="108" w:type="dxa"/>
            <w:bottom w:w="0" w:type="dxa"/>
            <w:right w:w="108" w:type="dxa"/>
          </w:tblCellMar>
        </w:tblPrEx>
        <w:trPr>
          <w:trHeight w:val="285"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信息化建设管理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w:t>
            </w:r>
            <w:r>
              <w:rPr>
                <w:rFonts w:hint="eastAsia" w:ascii="仿宋_GB2312" w:hAnsi="宋体" w:eastAsia="仿宋_GB2312" w:cs="宋体"/>
                <w:color w:val="auto"/>
                <w:kern w:val="0"/>
                <w:szCs w:val="21"/>
              </w:rPr>
              <w:t>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建立并执行车载智能终端设备的管理、维护及检查制度。</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未建立相关制度的，扣</w:t>
            </w:r>
            <w:r>
              <w:rPr>
                <w:rFonts w:ascii="仿宋_GB2312" w:hAnsi="宋体" w:eastAsia="仿宋_GB2312" w:cs="宋体"/>
                <w:color w:val="auto"/>
                <w:kern w:val="0"/>
                <w:szCs w:val="21"/>
              </w:rPr>
              <w:t>2</w:t>
            </w:r>
            <w:r>
              <w:rPr>
                <w:rFonts w:hint="eastAsia" w:ascii="仿宋_GB2312" w:hAnsi="宋体" w:eastAsia="仿宋_GB2312" w:cs="宋体"/>
                <w:color w:val="auto"/>
                <w:kern w:val="0"/>
                <w:szCs w:val="21"/>
              </w:rPr>
              <w:t>0分；建立制度未严格执行的，扣</w:t>
            </w:r>
            <w:r>
              <w:rPr>
                <w:rFonts w:ascii="仿宋_GB2312" w:hAnsi="宋体" w:eastAsia="仿宋_GB2312" w:cs="宋体"/>
                <w:color w:val="auto"/>
                <w:kern w:val="0"/>
                <w:szCs w:val="21"/>
              </w:rPr>
              <w:t>10</w:t>
            </w:r>
            <w:r>
              <w:rPr>
                <w:rFonts w:hint="eastAsia" w:ascii="仿宋_GB2312" w:hAnsi="宋体" w:eastAsia="仿宋_GB2312" w:cs="宋体"/>
                <w:color w:val="auto"/>
                <w:kern w:val="0"/>
                <w:szCs w:val="21"/>
              </w:rPr>
              <w:t>分。</w:t>
            </w:r>
          </w:p>
        </w:tc>
      </w:tr>
      <w:tr>
        <w:tblPrEx>
          <w:tblCellMar>
            <w:top w:w="0" w:type="dxa"/>
            <w:left w:w="108" w:type="dxa"/>
            <w:bottom w:w="0" w:type="dxa"/>
            <w:right w:w="108" w:type="dxa"/>
          </w:tblCellMar>
        </w:tblPrEx>
        <w:trPr>
          <w:trHeight w:val="1892"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6</w:t>
            </w:r>
            <w:r>
              <w:rPr>
                <w:rFonts w:hint="eastAsia" w:ascii="仿宋_GB2312" w:hAnsi="宋体" w:eastAsia="仿宋_GB2312" w:cs="宋体"/>
                <w:color w:val="auto"/>
                <w:kern w:val="0"/>
                <w:szCs w:val="21"/>
              </w:rPr>
              <w:t>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未按期车辆开展巡查的，扣5分；情况严重的，扣10分；数据接入连续7天以上异常的，每车次扣1分（已报修，缺货除外）；被第三方监管服务商通告且经2次催告，未完成整改的，每0.1次/车扣2分（已报修，缺货除外）。因</w:t>
            </w:r>
            <w:r>
              <w:rPr>
                <w:rFonts w:hint="eastAsia" w:ascii="仿宋_GB2312" w:hAnsi="宋体" w:eastAsia="仿宋_GB2312" w:cs="宋体"/>
                <w:color w:val="auto"/>
                <w:spacing w:val="0"/>
                <w:kern w:val="0"/>
                <w:szCs w:val="21"/>
              </w:rPr>
              <w:t>未按规定安装卫星定位终端设备或未保持正常使用状态被行业管理部门处罚</w:t>
            </w:r>
            <w:r>
              <w:rPr>
                <w:rFonts w:hint="eastAsia" w:ascii="仿宋_GB2312" w:hAnsi="宋体" w:eastAsia="仿宋_GB2312" w:cs="宋体"/>
                <w:color w:val="auto"/>
                <w:kern w:val="0"/>
                <w:szCs w:val="21"/>
              </w:rPr>
              <w:t>的，每次扣10分</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车载</w:t>
            </w:r>
            <w:r>
              <w:rPr>
                <w:rFonts w:hint="eastAsia" w:ascii="仿宋_GB2312" w:hAnsi="宋体" w:eastAsia="仿宋_GB2312" w:cs="宋体"/>
                <w:color w:val="auto"/>
                <w:spacing w:val="0"/>
                <w:kern w:val="0"/>
                <w:szCs w:val="21"/>
              </w:rPr>
              <w:t>智能视频监控设备</w:t>
            </w:r>
            <w:r>
              <w:rPr>
                <w:rFonts w:hint="eastAsia" w:ascii="仿宋_GB2312" w:hAnsi="宋体" w:eastAsia="仿宋_GB2312" w:cs="宋体"/>
                <w:color w:val="auto"/>
                <w:spacing w:val="0"/>
                <w:kern w:val="0"/>
                <w:szCs w:val="21"/>
                <w:lang w:val="en-US" w:eastAsia="zh-CN"/>
              </w:rPr>
              <w:t>正常使用，完好率每低于1%扣1分；扣完为止。</w:t>
            </w:r>
          </w:p>
        </w:tc>
      </w:tr>
      <w:tr>
        <w:tblPrEx>
          <w:tblCellMar>
            <w:top w:w="0" w:type="dxa"/>
            <w:left w:w="108" w:type="dxa"/>
            <w:bottom w:w="0" w:type="dxa"/>
            <w:right w:w="108" w:type="dxa"/>
          </w:tblCellMar>
        </w:tblPrEx>
        <w:trPr>
          <w:trHeight w:val="1912"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培训教育</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40分</w:t>
            </w:r>
          </w:p>
        </w:tc>
        <w:tc>
          <w:tcPr>
            <w:tcW w:w="6880" w:type="dxa"/>
            <w:tcBorders>
              <w:top w:val="single" w:color="auto" w:sz="4" w:space="0"/>
              <w:left w:val="single" w:color="auto" w:sz="4" w:space="0"/>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对聘用驾驶员在上岗前进行不少于4个学时的培训教育，培训内容应包括企业管理制度、行业管理制度等，有培训记录，有签到名单。每月召开一次司机例会，到会率不低于90%。每次例会不少于一个学时，开展出租汽车驾驶员从业资格继续教育（学习规章制度、分析企业服务质量、安全行车等情况），要求有例会计划、签到名单。</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检查台账、培训文字记录或网络学习数据，抽查司机：</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未按规定开展全员培训教育的，扣20分；未达80%的，扣10分；到会率未达90%的扣5分；例会无记录或无全程录像的扣5分；岗前培训未满4小时、岗前培训无全程录像的扣10分。司机服务质量考核计至0分，未按规定报名参加再教育仍在上岗从业的，每例扣3分；</w:t>
            </w:r>
          </w:p>
        </w:tc>
      </w:tr>
      <w:tr>
        <w:tblPrEx>
          <w:tblCellMar>
            <w:top w:w="0" w:type="dxa"/>
            <w:left w:w="108" w:type="dxa"/>
            <w:bottom w:w="0" w:type="dxa"/>
            <w:right w:w="108" w:type="dxa"/>
          </w:tblCellMar>
        </w:tblPrEx>
        <w:trPr>
          <w:trHeight w:val="1258"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企业文化和硬件设施</w:t>
            </w: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hint="default" w:ascii="仿宋_GB2312" w:hAnsi="宋体" w:eastAsia="仿宋_GB2312" w:cs="宋体"/>
                <w:color w:val="auto"/>
                <w:kern w:val="0"/>
                <w:szCs w:val="21"/>
              </w:rPr>
            </w:pPr>
            <w:r>
              <w:rPr>
                <w:rFonts w:hint="eastAsia" w:ascii="仿宋_GB2312" w:hAnsi="宋体" w:eastAsia="仿宋_GB2312" w:cs="宋体"/>
                <w:color w:val="auto"/>
                <w:kern w:val="0"/>
                <w:szCs w:val="21"/>
              </w:rPr>
              <w:t>办公场所缺少必要的办公设备的，如电脑、传真等，扣10分；企业感观形象差,办公场所无醒目的企业名称和标志的扣10分；未配备会议室的扣10分；有会议室但不能满足驾驶员会议要求的扣5分；根据例会录像中实际使用的会议室评分</w:t>
            </w:r>
            <w:r>
              <w:rPr>
                <w:rFonts w:hint="default"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960"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按照出租车辆数每3</w:t>
            </w:r>
            <w:r>
              <w:rPr>
                <w:rFonts w:ascii="仿宋_GB2312" w:hAnsi="宋体" w:eastAsia="仿宋_GB2312" w:cs="宋体"/>
                <w:color w:val="auto"/>
                <w:kern w:val="0"/>
                <w:szCs w:val="21"/>
              </w:rPr>
              <w:t>0</w:t>
            </w:r>
            <w:r>
              <w:rPr>
                <w:rFonts w:hint="eastAsia" w:ascii="仿宋_GB2312" w:hAnsi="宋体" w:eastAsia="仿宋_GB2312" w:cs="宋体"/>
                <w:color w:val="auto"/>
                <w:kern w:val="0"/>
                <w:szCs w:val="21"/>
              </w:rPr>
              <w:t>辆车配置1人的比例配备专职管理人员，且管理人员</w:t>
            </w:r>
            <w:r>
              <w:rPr>
                <w:rFonts w:hint="eastAsia" w:ascii="仿宋_GB2312" w:hAnsi="宋体" w:eastAsia="仿宋_GB2312" w:cs="宋体"/>
                <w:color w:val="auto"/>
                <w:kern w:val="0"/>
                <w:szCs w:val="21"/>
                <w:highlight w:val="none"/>
              </w:rPr>
              <w:t>不少于</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人</w:t>
            </w:r>
            <w:r>
              <w:rPr>
                <w:rFonts w:hint="eastAsia" w:ascii="仿宋_GB2312" w:hAnsi="宋体" w:eastAsia="仿宋_GB2312" w:cs="宋体"/>
                <w:color w:val="auto"/>
                <w:kern w:val="0"/>
                <w:szCs w:val="21"/>
              </w:rPr>
              <w:t>。</w:t>
            </w:r>
          </w:p>
          <w:p>
            <w:pPr>
              <w:pStyle w:val="6"/>
              <w:ind w:left="0" w:leftChars="0" w:firstLine="0" w:firstLineChars="0"/>
              <w:rPr>
                <w:rFonts w:ascii="仿宋_GB2312" w:eastAsia="仿宋_GB2312"/>
                <w:color w:val="auto"/>
                <w:szCs w:val="21"/>
              </w:rPr>
            </w:pPr>
            <w:r>
              <w:rPr>
                <w:rFonts w:hint="eastAsia" w:ascii="仿宋_GB2312" w:hAnsi="宋体" w:eastAsia="仿宋_GB2312" w:cs="宋体"/>
                <w:color w:val="auto"/>
                <w:kern w:val="0"/>
                <w:szCs w:val="21"/>
              </w:rPr>
              <w:t>检查劳动合同、工资清单、社保记录证明，不符合要求的扣5分。</w:t>
            </w:r>
          </w:p>
        </w:tc>
      </w:tr>
      <w:tr>
        <w:tblPrEx>
          <w:tblCellMar>
            <w:top w:w="0" w:type="dxa"/>
            <w:left w:w="108" w:type="dxa"/>
            <w:bottom w:w="0" w:type="dxa"/>
            <w:right w:w="108" w:type="dxa"/>
          </w:tblCellMar>
        </w:tblPrEx>
        <w:trPr>
          <w:trHeight w:val="1248"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highlight w:val="none"/>
              </w:rPr>
              <w:t>每月或季度</w:t>
            </w:r>
            <w:r>
              <w:rPr>
                <w:rFonts w:hint="eastAsia" w:ascii="仿宋_GB2312" w:hAnsi="宋体" w:eastAsia="仿宋_GB2312" w:cs="宋体"/>
                <w:color w:val="auto"/>
                <w:kern w:val="0"/>
                <w:szCs w:val="21"/>
              </w:rPr>
              <w:t>按要求完成信息报送的，得5分；企业车辆全部使用统一座套的得10分；车辆数70%以上使用的（含50%）得5分；70%以下使用的得2分。</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 他</w:t>
            </w:r>
          </w:p>
        </w:tc>
        <w:tc>
          <w:tcPr>
            <w:tcW w:w="1072"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公司对服务管理车辆根据合同要求落实管理、投诉、驾驶员培训教育等相关措施。不提供服务的，发现一起扣10分，无服务管理车辆的不扣分。</w:t>
            </w:r>
          </w:p>
        </w:tc>
      </w:tr>
      <w:tr>
        <w:tblPrEx>
          <w:tblCellMar>
            <w:top w:w="0" w:type="dxa"/>
            <w:left w:w="108" w:type="dxa"/>
            <w:bottom w:w="0" w:type="dxa"/>
            <w:right w:w="108" w:type="dxa"/>
          </w:tblCellMar>
        </w:tblPrEx>
        <w:trPr>
          <w:trHeight w:val="312"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6880" w:type="dxa"/>
            <w:vMerge w:val="restart"/>
            <w:tcBorders>
              <w:top w:val="nil"/>
              <w:left w:val="nil"/>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无从业资格人员驾驶出租车的，拒不执行行业管理部门整改要求或被行业管理部门通报批评的，推诿或拖延完成管理部门指定任务的。</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发生一例扣10分。</w:t>
            </w:r>
          </w:p>
        </w:tc>
      </w:tr>
      <w:tr>
        <w:tblPrEx>
          <w:tblCellMar>
            <w:top w:w="0" w:type="dxa"/>
            <w:left w:w="108" w:type="dxa"/>
            <w:bottom w:w="0" w:type="dxa"/>
            <w:right w:w="108" w:type="dxa"/>
          </w:tblCellMar>
        </w:tblPrEx>
        <w:trPr>
          <w:trHeight w:val="312"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6880" w:type="dxa"/>
            <w:vMerge w:val="continue"/>
            <w:tcBorders>
              <w:left w:val="nil"/>
              <w:right w:val="single" w:color="auto" w:sz="18" w:space="0"/>
            </w:tcBorders>
            <w:shd w:val="clear" w:color="auto" w:fill="auto"/>
            <w:vAlign w:val="center"/>
          </w:tcPr>
          <w:p>
            <w:pPr>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12"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6880" w:type="dxa"/>
            <w:vMerge w:val="continue"/>
            <w:tcBorders>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1680" w:hRule="atLeast"/>
        </w:trPr>
        <w:tc>
          <w:tcPr>
            <w:tcW w:w="560" w:type="dxa"/>
            <w:vMerge w:val="restart"/>
            <w:tcBorders>
              <w:top w:val="nil"/>
              <w:left w:val="single" w:color="auto" w:sz="1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安全运营200分</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安全责任落实情况</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ascii="仿宋_GB2312" w:eastAsia="仿宋_GB2312"/>
                <w:color w:val="auto"/>
                <w:szCs w:val="21"/>
              </w:rPr>
            </w:pPr>
            <w:r>
              <w:rPr>
                <w:rFonts w:hint="eastAsia" w:ascii="仿宋_GB2312" w:hAnsi="宋体" w:eastAsia="仿宋_GB2312" w:cs="宋体"/>
                <w:color w:val="auto"/>
                <w:kern w:val="0"/>
                <w:szCs w:val="21"/>
              </w:rPr>
              <w:t>未落实安全生产管理制度的发现一例扣10分，其中未及时上报或瞒报交通事故、行业涉稳事件的扣20分；专项安全管理工作未开展的，每次扣10分；未完成行业管理部门要求的其它各项安全工作的，发现一例扣10分。</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交通责任事故死亡率</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发生亡人有责交通事故的，死亡1人扣20分，不受总分限制；</w:t>
            </w:r>
          </w:p>
        </w:tc>
      </w:tr>
      <w:tr>
        <w:tblPrEx>
          <w:tblCellMar>
            <w:top w:w="0" w:type="dxa"/>
            <w:left w:w="108" w:type="dxa"/>
            <w:bottom w:w="0" w:type="dxa"/>
            <w:right w:w="108" w:type="dxa"/>
          </w:tblCellMar>
        </w:tblPrEx>
        <w:trPr>
          <w:trHeight w:val="465"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交通违法行为</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100</w:t>
            </w:r>
            <w:r>
              <w:rPr>
                <w:rFonts w:hint="eastAsia" w:ascii="仿宋_GB2312" w:hAnsi="宋体" w:eastAsia="仿宋_GB2312" w:cs="宋体"/>
                <w:color w:val="auto"/>
                <w:kern w:val="0"/>
                <w:szCs w:val="21"/>
              </w:rPr>
              <w:t>分</w:t>
            </w:r>
          </w:p>
        </w:tc>
        <w:tc>
          <w:tcPr>
            <w:tcW w:w="6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发生交通违法行为的。年度累计，每1次/车扣1分。</w:t>
            </w:r>
          </w:p>
        </w:tc>
      </w:tr>
      <w:tr>
        <w:tblPrEx>
          <w:tblCellMar>
            <w:top w:w="0" w:type="dxa"/>
            <w:left w:w="108" w:type="dxa"/>
            <w:bottom w:w="0" w:type="dxa"/>
            <w:right w:w="108" w:type="dxa"/>
          </w:tblCellMar>
        </w:tblPrEx>
        <w:trPr>
          <w:trHeight w:val="720" w:hRule="atLeast"/>
        </w:trPr>
        <w:tc>
          <w:tcPr>
            <w:tcW w:w="560" w:type="dxa"/>
            <w:vMerge w:val="restart"/>
            <w:tcBorders>
              <w:top w:val="nil"/>
              <w:left w:val="single" w:color="auto" w:sz="1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运营服务450分</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严重经营违法行为</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100分</w:t>
            </w:r>
          </w:p>
        </w:tc>
        <w:tc>
          <w:tcPr>
            <w:tcW w:w="6880" w:type="dxa"/>
            <w:tcBorders>
              <w:top w:val="single" w:color="auto" w:sz="4" w:space="0"/>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发生拒载、故意绕道、甩客等严重经营违规行为（被行政处罚或驾驶员服务质量信誉考核扣分10分及以上）。年度累计，每0.01次/车扣3分。因参与商业贿赂被查处的、或车辆注册驾驶员被吊销从业资格证的，每发生一起再扣20分；车辆被吊销营运证的，每发生一起扣30分。</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一般经营违法行为</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发生服务不规范等一般经营违规行为（驾驶员服务质量信誉考核单项扣分不到10分的违规行为)。年度累计，每0.1次/车扣6分。</w:t>
            </w:r>
          </w:p>
        </w:tc>
      </w:tr>
      <w:tr>
        <w:tblPrEx>
          <w:tblCellMar>
            <w:top w:w="0" w:type="dxa"/>
            <w:left w:w="108" w:type="dxa"/>
            <w:bottom w:w="0" w:type="dxa"/>
            <w:right w:w="108" w:type="dxa"/>
          </w:tblCellMar>
        </w:tblPrEx>
        <w:trPr>
          <w:trHeight w:val="1872"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配合违章及投诉处理</w:t>
            </w:r>
          </w:p>
        </w:tc>
        <w:tc>
          <w:tcPr>
            <w:tcW w:w="1072"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20分</w:t>
            </w:r>
          </w:p>
        </w:tc>
        <w:tc>
          <w:tcPr>
            <w:tcW w:w="6880" w:type="dxa"/>
            <w:tcBorders>
              <w:top w:val="nil"/>
              <w:left w:val="single" w:color="auto" w:sz="4" w:space="0"/>
              <w:bottom w:val="single" w:color="000000" w:sz="4" w:space="0"/>
              <w:right w:val="single" w:color="auto" w:sz="18" w:space="0"/>
            </w:tcBorders>
            <w:shd w:val="clear" w:color="auto" w:fill="auto"/>
            <w:vAlign w:val="center"/>
          </w:tcPr>
          <w:p>
            <w:pPr>
              <w:pStyle w:val="6"/>
              <w:ind w:left="0" w:leftChars="0" w:firstLine="0" w:firstLineChars="0"/>
              <w:rPr>
                <w:rFonts w:ascii="仿宋_GB2312" w:eastAsia="仿宋_GB2312"/>
                <w:color w:val="auto"/>
                <w:szCs w:val="21"/>
              </w:rPr>
            </w:pPr>
            <w:r>
              <w:rPr>
                <w:rFonts w:hint="eastAsia" w:ascii="仿宋_GB2312" w:eastAsia="仿宋_GB2312"/>
                <w:color w:val="auto"/>
                <w:szCs w:val="21"/>
              </w:rPr>
              <w:t>投诉处理及违章处理人员在处理案件中对各企业失物查找、投诉及违章处理配合情况进行满意度评价，每条不满意评价意见扣5分。对经三次电话通知仍未按规定到达指定地点接受投诉或违章案件调查处理的企业，视为不配合违章（投诉）处理和监督检查，由各区行业管理部门的案件承办部门在保存电话录音并制作通知记录后，直接给予考核扣分，每次发生一例扣20分，本项扣分不受单项总分限制。</w:t>
            </w:r>
          </w:p>
        </w:tc>
      </w:tr>
      <w:tr>
        <w:tblPrEx>
          <w:tblCellMar>
            <w:top w:w="0" w:type="dxa"/>
            <w:left w:w="108" w:type="dxa"/>
            <w:bottom w:w="0" w:type="dxa"/>
            <w:right w:w="108" w:type="dxa"/>
          </w:tblCellMar>
        </w:tblPrEx>
        <w:trPr>
          <w:trHeight w:val="2067"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转企业投诉件</w:t>
            </w:r>
            <w:r>
              <w:rPr>
                <w:rFonts w:hint="eastAsia" w:ascii="仿宋_GB2312" w:hAnsi="宋体" w:eastAsia="仿宋_GB2312" w:cs="宋体"/>
                <w:color w:val="auto"/>
                <w:kern w:val="0"/>
                <w:szCs w:val="21"/>
                <w:highlight w:val="none"/>
              </w:rPr>
              <w:t>7日</w:t>
            </w:r>
            <w:r>
              <w:rPr>
                <w:rFonts w:hint="eastAsia" w:ascii="仿宋_GB2312" w:hAnsi="宋体" w:eastAsia="仿宋_GB2312" w:cs="宋体"/>
                <w:color w:val="auto"/>
                <w:kern w:val="0"/>
                <w:szCs w:val="21"/>
              </w:rPr>
              <w:t>（自然日）内办结，</w:t>
            </w:r>
            <w:r>
              <w:rPr>
                <w:rFonts w:hint="eastAsia" w:ascii="仿宋_GB2312" w:eastAsia="仿宋_GB2312"/>
                <w:color w:val="auto"/>
                <w:szCs w:val="21"/>
              </w:rPr>
              <w:t>超期件每发生一起扣5分；满意率未达96%，高于90%（含）的，扣10分；低于90%，扣20分；因企业处理质量问题，引起重复投诉或造成不良影响的，每发生一次扣5分；企业不处理投诉件的，每发生一例扣5分；对有责驾驶员未进行教育处理的，每例扣5分；无台账或不齐全的扣10分；泄露投诉人信息造成投诉人被骚扰的每例扣10分。</w:t>
            </w:r>
          </w:p>
        </w:tc>
      </w:tr>
      <w:tr>
        <w:tblPrEx>
          <w:tblCellMar>
            <w:top w:w="0" w:type="dxa"/>
            <w:left w:w="108" w:type="dxa"/>
            <w:bottom w:w="0" w:type="dxa"/>
            <w:right w:w="108" w:type="dxa"/>
          </w:tblCellMar>
        </w:tblPrEx>
        <w:trPr>
          <w:trHeight w:val="1882"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服务质量投诉率</w:t>
            </w:r>
          </w:p>
        </w:tc>
        <w:tc>
          <w:tcPr>
            <w:tcW w:w="1072"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150分</w:t>
            </w:r>
          </w:p>
        </w:tc>
        <w:tc>
          <w:tcPr>
            <w:tcW w:w="6880" w:type="dxa"/>
            <w:tcBorders>
              <w:top w:val="nil"/>
              <w:left w:val="single" w:color="auto" w:sz="4" w:space="0"/>
              <w:bottom w:val="single" w:color="000000"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算企业服务质量投诉率＝发生不满意服务质量的投诉件数（不含无效投诉，只计算投诉件数，不判断是否有责，GPS轨迹没有去过的、投诉车号不符的除外）/企业车辆数。按季度和年度对企业服务质量投诉率进行从低到高排名，季度、年度得分累计。</w:t>
            </w:r>
          </w:p>
          <w:p>
            <w:pPr>
              <w:pStyle w:val="6"/>
              <w:ind w:left="0" w:leftChars="0" w:firstLine="0" w:firstLineChars="0"/>
              <w:rPr>
                <w:rFonts w:ascii="仿宋_GB2312" w:eastAsia="仿宋_GB2312"/>
                <w:color w:val="auto"/>
                <w:szCs w:val="21"/>
              </w:rPr>
            </w:pPr>
            <w:r>
              <w:rPr>
                <w:rFonts w:hint="eastAsia" w:ascii="仿宋_GB2312" w:eastAsia="仿宋_GB2312"/>
                <w:color w:val="auto"/>
                <w:szCs w:val="21"/>
              </w:rPr>
              <w:t>每季度企业服务质量投诉率考核分30分，季度企业服务质量投诉率排名第一位的得30分，每排后一位扣0.5分；年度企业服务质量投诉率考核分30分，年度企业服务质量投诉率排名第一位的得30分，每排后一位扣0.5分。车辆数计算基数包含企业自有车辆和服务管理车正常营运车辆。</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服务评价</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由委托第三方对企业服务质量进行测评。根据测评结果综合评分。</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18"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媒体曝光</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因服务质量事件而被市级以上媒体曝光的，影响行业形象的。每例扣10分，情节恶劣的扣20分。</w:t>
            </w:r>
          </w:p>
        </w:tc>
      </w:tr>
      <w:tr>
        <w:tblPrEx>
          <w:tblCellMar>
            <w:top w:w="0" w:type="dxa"/>
            <w:left w:w="108" w:type="dxa"/>
            <w:bottom w:w="0" w:type="dxa"/>
            <w:right w:w="108" w:type="dxa"/>
          </w:tblCellMar>
        </w:tblPrEx>
        <w:trPr>
          <w:trHeight w:val="450" w:hRule="atLeast"/>
        </w:trPr>
        <w:tc>
          <w:tcPr>
            <w:tcW w:w="560" w:type="dxa"/>
            <w:vMerge w:val="restart"/>
            <w:tcBorders>
              <w:top w:val="nil"/>
              <w:left w:val="single" w:color="auto" w:sz="18"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社会责任70分</w:t>
            </w:r>
          </w:p>
        </w:tc>
        <w:tc>
          <w:tcPr>
            <w:tcW w:w="8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维护行业稳定</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积极参加行业协会党委布置的工作任务和协会组织的各项活动，开展服务质量自查自纠，由协会及协会党委评分。</w:t>
            </w:r>
          </w:p>
        </w:tc>
      </w:tr>
      <w:tr>
        <w:tblPrEx>
          <w:tblCellMar>
            <w:top w:w="0" w:type="dxa"/>
            <w:left w:w="108" w:type="dxa"/>
            <w:bottom w:w="0" w:type="dxa"/>
            <w:right w:w="108" w:type="dxa"/>
          </w:tblCellMar>
        </w:tblPrEx>
        <w:trPr>
          <w:trHeight w:val="1217"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对照重点监管车辆“黑名单”，全年未出现所属车辆和人员在列的企业得满分30分，发生一例少得分5分，同一车辆两次列入的扣15分，三次列入的扣30分。本项计分由领导小组办公室出具考核评分结果。</w:t>
            </w:r>
          </w:p>
        </w:tc>
      </w:tr>
      <w:tr>
        <w:tblPrEx>
          <w:tblCellMar>
            <w:top w:w="0" w:type="dxa"/>
            <w:left w:w="108" w:type="dxa"/>
            <w:bottom w:w="0" w:type="dxa"/>
            <w:right w:w="108" w:type="dxa"/>
          </w:tblCellMar>
        </w:tblPrEx>
        <w:trPr>
          <w:trHeight w:val="1187" w:hRule="atLeast"/>
        </w:trPr>
        <w:tc>
          <w:tcPr>
            <w:tcW w:w="560" w:type="dxa"/>
            <w:vMerge w:val="continue"/>
            <w:tcBorders>
              <w:top w:val="nil"/>
              <w:left w:val="single" w:color="auto" w:sz="18"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0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nil"/>
              <w:left w:val="single" w:color="auto" w:sz="4" w:space="0"/>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企业擅自暂停、终止经营此项不得分；车辆未按指定地点停放的视情况扣分；情节严重的，降级或直接评定B级。</w:t>
            </w:r>
          </w:p>
        </w:tc>
      </w:tr>
      <w:tr>
        <w:tblPrEx>
          <w:tblCellMar>
            <w:top w:w="0" w:type="dxa"/>
            <w:left w:w="108" w:type="dxa"/>
            <w:bottom w:w="0" w:type="dxa"/>
            <w:right w:w="108" w:type="dxa"/>
          </w:tblCellMar>
        </w:tblPrEx>
        <w:trPr>
          <w:trHeight w:val="480" w:hRule="atLeast"/>
        </w:trPr>
        <w:tc>
          <w:tcPr>
            <w:tcW w:w="560" w:type="dxa"/>
            <w:vMerge w:val="restart"/>
            <w:tcBorders>
              <w:top w:val="nil"/>
              <w:left w:val="single" w:color="auto" w:sz="1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加分项目100分</w:t>
            </w:r>
          </w:p>
        </w:tc>
        <w:tc>
          <w:tcPr>
            <w:tcW w:w="8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政府及部门表彰奖励</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highlight w:val="none"/>
              </w:rPr>
              <w:t>获得省、部级以上荣誉称号的加10分；</w:t>
            </w:r>
            <w:r>
              <w:rPr>
                <w:rFonts w:hint="eastAsia" w:ascii="仿宋_GB2312" w:hAnsi="宋体" w:eastAsia="仿宋_GB2312" w:cs="宋体"/>
                <w:color w:val="auto"/>
                <w:kern w:val="0"/>
                <w:szCs w:val="21"/>
              </w:rPr>
              <w:t>地、市级荣誉称号的加5分；县、区级荣誉称号的加2分。</w:t>
            </w:r>
          </w:p>
        </w:tc>
      </w:tr>
      <w:tr>
        <w:tblPrEx>
          <w:tblCellMar>
            <w:top w:w="0" w:type="dxa"/>
            <w:left w:w="108" w:type="dxa"/>
            <w:bottom w:w="0" w:type="dxa"/>
            <w:right w:w="108" w:type="dxa"/>
          </w:tblCellMar>
        </w:tblPrEx>
        <w:trPr>
          <w:trHeight w:val="450" w:hRule="atLeast"/>
        </w:trPr>
        <w:tc>
          <w:tcPr>
            <w:tcW w:w="560" w:type="dxa"/>
            <w:vMerge w:val="continue"/>
            <w:tcBorders>
              <w:top w:val="single" w:color="auto" w:sz="4" w:space="0"/>
              <w:left w:val="single" w:color="auto" w:sz="18"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社会公益</w:t>
            </w:r>
          </w:p>
        </w:tc>
        <w:tc>
          <w:tcPr>
            <w:tcW w:w="10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single" w:color="auto" w:sz="4" w:space="0"/>
              <w:left w:val="nil"/>
              <w:bottom w:val="nil"/>
              <w:right w:val="single" w:color="auto" w:sz="18" w:space="0"/>
            </w:tcBorders>
            <w:shd w:val="clear" w:color="auto" w:fill="auto"/>
            <w:vAlign w:val="center"/>
          </w:tcPr>
          <w:p>
            <w:pPr>
              <w:pStyle w:val="6"/>
              <w:ind w:left="0" w:leftChars="0" w:firstLine="0" w:firstLineChars="0"/>
              <w:rPr>
                <w:rFonts w:ascii="仿宋_GB2312" w:eastAsia="仿宋_GB2312"/>
                <w:color w:val="auto"/>
                <w:szCs w:val="21"/>
              </w:rPr>
            </w:pPr>
            <w:r>
              <w:rPr>
                <w:rFonts w:hint="eastAsia" w:ascii="仿宋_GB2312" w:hAnsi="宋体" w:eastAsia="仿宋_GB2312" w:cs="宋体"/>
                <w:color w:val="auto"/>
                <w:kern w:val="0"/>
                <w:szCs w:val="21"/>
              </w:rPr>
              <w:t>组织具有较大(15人或10辆车以上)社会影响公益活动（例如参加抢险救灾、赈灾、救死扶伤、优质服务等）的加5分（考核年度内限加2次）；</w:t>
            </w:r>
          </w:p>
        </w:tc>
      </w:tr>
      <w:tr>
        <w:tblPrEx>
          <w:tblCellMar>
            <w:top w:w="0" w:type="dxa"/>
            <w:left w:w="108" w:type="dxa"/>
            <w:bottom w:w="0" w:type="dxa"/>
            <w:right w:w="108" w:type="dxa"/>
          </w:tblCellMar>
        </w:tblPrEx>
        <w:trPr>
          <w:trHeight w:val="300" w:hRule="atLeast"/>
        </w:trPr>
        <w:tc>
          <w:tcPr>
            <w:tcW w:w="560" w:type="dxa"/>
            <w:vMerge w:val="continue"/>
            <w:tcBorders>
              <w:top w:val="nil"/>
              <w:left w:val="single" w:color="auto" w:sz="18"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新能源使用</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40分</w:t>
            </w:r>
          </w:p>
        </w:tc>
        <w:tc>
          <w:tcPr>
            <w:tcW w:w="6880" w:type="dxa"/>
            <w:tcBorders>
              <w:top w:val="single" w:color="auto" w:sz="4" w:space="0"/>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积极推广应用新能源汽车，落实蓝天保卫战工作措施，每车次加2分，此项不受总分限制，总高100分。</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18"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行业先进事迹宣传</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10分</w:t>
            </w:r>
          </w:p>
        </w:tc>
        <w:tc>
          <w:tcPr>
            <w:tcW w:w="6880" w:type="dxa"/>
            <w:tcBorders>
              <w:top w:val="nil"/>
              <w:left w:val="nil"/>
              <w:bottom w:val="single" w:color="auto" w:sz="4"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通过区县级以上新闻媒体，宣传本企业或驾驶员优秀事迹的，弘扬行业文明的。年度统计，每报道一次得1分，（同一事件计一次,电台报道不超过5篇）。</w:t>
            </w:r>
          </w:p>
        </w:tc>
      </w:tr>
      <w:tr>
        <w:tblPrEx>
          <w:tblCellMar>
            <w:top w:w="0" w:type="dxa"/>
            <w:left w:w="108" w:type="dxa"/>
            <w:bottom w:w="0" w:type="dxa"/>
            <w:right w:w="108" w:type="dxa"/>
          </w:tblCellMar>
        </w:tblPrEx>
        <w:trPr>
          <w:trHeight w:val="480" w:hRule="atLeast"/>
        </w:trPr>
        <w:tc>
          <w:tcPr>
            <w:tcW w:w="560" w:type="dxa"/>
            <w:vMerge w:val="continue"/>
            <w:tcBorders>
              <w:top w:val="nil"/>
              <w:left w:val="single" w:color="auto" w:sz="18" w:space="0"/>
              <w:bottom w:val="single" w:color="auto" w:sz="18" w:space="0"/>
              <w:right w:val="single" w:color="auto" w:sz="4" w:space="0"/>
            </w:tcBorders>
            <w:vAlign w:val="center"/>
          </w:tcPr>
          <w:p>
            <w:pPr>
              <w:widowControl/>
              <w:jc w:val="left"/>
              <w:rPr>
                <w:rFonts w:ascii="仿宋_GB2312" w:hAnsi="宋体" w:eastAsia="仿宋_GB2312" w:cs="宋体"/>
                <w:color w:val="auto"/>
                <w:kern w:val="0"/>
                <w:szCs w:val="21"/>
              </w:rPr>
            </w:pPr>
          </w:p>
        </w:tc>
        <w:tc>
          <w:tcPr>
            <w:tcW w:w="848" w:type="dxa"/>
            <w:tcBorders>
              <w:top w:val="nil"/>
              <w:left w:val="nil"/>
              <w:bottom w:val="single" w:color="auto" w:sz="18"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应急服务保障</w:t>
            </w:r>
          </w:p>
        </w:tc>
        <w:tc>
          <w:tcPr>
            <w:tcW w:w="1072" w:type="dxa"/>
            <w:tcBorders>
              <w:top w:val="nil"/>
              <w:left w:val="nil"/>
              <w:bottom w:val="single" w:color="auto" w:sz="18"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30分</w:t>
            </w:r>
          </w:p>
        </w:tc>
        <w:tc>
          <w:tcPr>
            <w:tcW w:w="6880" w:type="dxa"/>
            <w:tcBorders>
              <w:top w:val="nil"/>
              <w:left w:val="nil"/>
              <w:bottom w:val="single" w:color="auto" w:sz="18" w:space="0"/>
              <w:right w:val="single" w:color="auto" w:sz="1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组建应急服务保障车队，积极参与应急保障服务（含春运火车站夜间旅客疏散）</w:t>
            </w:r>
          </w:p>
          <w:p>
            <w:pPr>
              <w:pStyle w:val="6"/>
              <w:ind w:left="0" w:leftChars="0" w:firstLine="0" w:firstLineChars="0"/>
              <w:rPr>
                <w:rFonts w:ascii="仿宋_GB2312" w:eastAsia="仿宋_GB2312"/>
                <w:color w:val="auto"/>
                <w:szCs w:val="21"/>
              </w:rPr>
            </w:pPr>
            <w:r>
              <w:rPr>
                <w:rFonts w:hint="eastAsia" w:ascii="仿宋_GB2312" w:eastAsia="仿宋_GB2312"/>
                <w:color w:val="auto"/>
                <w:szCs w:val="21"/>
              </w:rPr>
              <w:t>按车次给予加分，以具体核算为准。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MjBlYzhhODZhY2M1ZWFkMDliYjU0ZGVjYWY4NTEifQ=="/>
  </w:docVars>
  <w:rsids>
    <w:rsidRoot w:val="00E746C0"/>
    <w:rsid w:val="001A0EB9"/>
    <w:rsid w:val="00761486"/>
    <w:rsid w:val="007C4F8C"/>
    <w:rsid w:val="00837FD8"/>
    <w:rsid w:val="00A46B94"/>
    <w:rsid w:val="00B40E86"/>
    <w:rsid w:val="00CD793C"/>
    <w:rsid w:val="00CE5251"/>
    <w:rsid w:val="00D15864"/>
    <w:rsid w:val="00D92AC9"/>
    <w:rsid w:val="00DE2E24"/>
    <w:rsid w:val="00E746C0"/>
    <w:rsid w:val="1E7A1DA8"/>
    <w:rsid w:val="339E2475"/>
    <w:rsid w:val="5EBEAD68"/>
    <w:rsid w:val="5FF67EAB"/>
    <w:rsid w:val="6D7F493D"/>
    <w:rsid w:val="6DE175AD"/>
    <w:rsid w:val="ADEF2BD9"/>
    <w:rsid w:val="D47F7851"/>
    <w:rsid w:val="FDFF1C98"/>
    <w:rsid w:val="FFFF85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2"/>
    <w:link w:val="10"/>
    <w:qFormat/>
    <w:uiPriority w:val="0"/>
    <w:pPr>
      <w:ind w:firstLine="420" w:firstLineChars="200"/>
    </w:pPr>
  </w:style>
  <w:style w:type="character" w:customStyle="1" w:styleId="9">
    <w:name w:val="正文文本缩进 字符"/>
    <w:basedOn w:val="8"/>
    <w:link w:val="3"/>
    <w:semiHidden/>
    <w:qFormat/>
    <w:uiPriority w:val="99"/>
    <w:rPr>
      <w:rFonts w:ascii="Calibri" w:hAnsi="Calibri" w:eastAsia="宋体" w:cs="Times New Roman"/>
      <w:szCs w:val="24"/>
    </w:rPr>
  </w:style>
  <w:style w:type="character" w:customStyle="1" w:styleId="10">
    <w:name w:val="正文文本首行缩进 2 字符"/>
    <w:basedOn w:val="9"/>
    <w:link w:val="6"/>
    <w:qFormat/>
    <w:uiPriority w:val="0"/>
    <w:rPr>
      <w:rFonts w:ascii="Calibri" w:hAnsi="Calibri" w:eastAsia="宋体" w:cs="Times New Roman"/>
      <w:szCs w:val="24"/>
    </w:rPr>
  </w:style>
  <w:style w:type="character" w:customStyle="1" w:styleId="11">
    <w:name w:val="正文文本 字符"/>
    <w:basedOn w:val="8"/>
    <w:link w:val="2"/>
    <w:semiHidden/>
    <w:qFormat/>
    <w:uiPriority w:val="99"/>
    <w:rPr>
      <w:rFonts w:ascii="Calibri" w:hAnsi="Calibri" w:eastAsia="宋体" w:cs="Times New Roman"/>
      <w:szCs w:val="24"/>
    </w:rPr>
  </w:style>
  <w:style w:type="character" w:customStyle="1" w:styleId="12">
    <w:name w:val="页眉 字符"/>
    <w:basedOn w:val="8"/>
    <w:link w:val="5"/>
    <w:qFormat/>
    <w:uiPriority w:val="99"/>
    <w:rPr>
      <w:rFonts w:ascii="Calibri" w:hAnsi="Calibri" w:eastAsia="宋体" w:cs="Times New Roman"/>
      <w:sz w:val="18"/>
      <w:szCs w:val="18"/>
    </w:rPr>
  </w:style>
  <w:style w:type="character" w:customStyle="1" w:styleId="13">
    <w:name w:val="页脚 字符"/>
    <w:basedOn w:val="8"/>
    <w:link w:val="4"/>
    <w:qFormat/>
    <w:uiPriority w:val="99"/>
    <w:rPr>
      <w:rFonts w:ascii="Calibri" w:hAnsi="Calibri" w:eastAsia="宋体" w:cs="Times New Roman"/>
      <w:sz w:val="18"/>
      <w:szCs w:val="18"/>
    </w:r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576</Words>
  <Characters>3286</Characters>
  <Lines>27</Lines>
  <Paragraphs>7</Paragraphs>
  <TotalTime>5</TotalTime>
  <ScaleCrop>false</ScaleCrop>
  <LinksUpToDate>false</LinksUpToDate>
  <CharactersWithSpaces>3855</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2022-08-07T11:49:00Z</dcterms:created>
  <dc:creator>QIAO GUOLIANG</dc:creator>
  <cp:lastModifiedBy>uos</cp:lastModifiedBy>
  <cp:lastPrinted>2024-04-28T16:52:00Z</cp:lastPrinted>
  <dcterms:modified xsi:type="dcterms:W3CDTF">2024-04-28T15:28:00Z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96A8DA8D99EF41B58542DE01E4FAE5C9_12</vt:lpwstr>
  </property>
</Properties>
</file>