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宋体" w:hAnsi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东阳市木雕竹编红木产业专项扶持资金</w:t>
      </w:r>
      <w:r>
        <w:rPr>
          <w:rStyle w:val="7"/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   </w:t>
      </w:r>
      <w:r>
        <w:rPr>
          <w:rStyle w:val="7"/>
          <w:rFonts w:ascii="宋体" w:hAnsi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管理办法</w:t>
      </w:r>
      <w:r>
        <w:rPr>
          <w:rStyle w:val="7"/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（修订版）</w:t>
      </w:r>
    </w:p>
    <w:p>
      <w:pPr>
        <w:snapToGrid w:val="0"/>
        <w:spacing w:before="0" w:beforeAutospacing="0" w:after="0" w:afterAutospacing="0" w:line="570" w:lineRule="exact"/>
        <w:jc w:val="center"/>
        <w:textAlignment w:val="baseline"/>
        <w:rPr>
          <w:rStyle w:val="7"/>
          <w:rFonts w:hint="default" w:ascii="仿宋_GB2312" w:hAnsi="仿宋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(征求意见稿)</w:t>
      </w:r>
    </w:p>
    <w:p>
      <w:pPr>
        <w:snapToGrid w:val="0"/>
        <w:spacing w:before="0" w:beforeAutospacing="0" w:after="0" w:afterAutospacing="0" w:line="570" w:lineRule="exact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为实现“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木雕家居千亿产业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”发展目标，推动木雕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竹编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红木产业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高质量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发展，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结合我市产业发展的实际，特制订木雕竹编红木（以下简称木雕红木）产业专项扶持资金管理办法。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Times New Roman"/>
          <w:b w:val="0"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第一条  </w:t>
      </w: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专项</w:t>
      </w:r>
      <w:r>
        <w:rPr>
          <w:rStyle w:val="7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扶持</w:t>
      </w: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资金来源及用途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专项扶持资金来源是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我市木雕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竹编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红木企业上一年度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地方综合贡献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专项扶持资金用于以下几个方面：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规下企业升规提档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励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</w:t>
      </w:r>
      <w:r>
        <w:rPr>
          <w:rStyle w:val="7"/>
          <w:rFonts w:ascii="仿宋_GB2312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新增地方贡献奖励</w:t>
      </w:r>
    </w:p>
    <w:p>
      <w:pPr>
        <w:snapToGrid w:val="0"/>
        <w:spacing w:before="0" w:beforeAutospacing="0" w:after="0" w:afterAutospacing="0" w:line="570" w:lineRule="exact"/>
        <w:ind w:left="0" w:leftChars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超亿元企业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</w:t>
      </w:r>
    </w:p>
    <w:p>
      <w:pPr>
        <w:snapToGrid w:val="0"/>
        <w:spacing w:before="0" w:beforeAutospacing="0" w:after="0" w:afterAutospacing="0" w:line="570" w:lineRule="exact"/>
        <w:ind w:left="0" w:leftChars="0" w:firstLine="640" w:firstLineChars="200"/>
        <w:jc w:val="both"/>
        <w:textAlignment w:val="baseline"/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（四）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木材经销商</w:t>
      </w:r>
      <w:r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交易</w:t>
      </w:r>
      <w:r>
        <w:rPr>
          <w:rStyle w:val="7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奖励 </w:t>
      </w:r>
    </w:p>
    <w:p>
      <w:pPr>
        <w:snapToGrid w:val="0"/>
        <w:spacing w:before="0" w:beforeAutospacing="0" w:after="0" w:afterAutospacing="0" w:line="570" w:lineRule="exact"/>
        <w:ind w:left="0" w:leftChars="0" w:firstLine="640" w:firstLineChars="200"/>
        <w:jc w:val="both"/>
        <w:textAlignment w:val="baseline"/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（五）</w:t>
      </w:r>
      <w:r>
        <w:rPr>
          <w:rStyle w:val="7"/>
          <w:rFonts w:ascii="仿宋_GB2312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鼓励技术改造带动智能化转型</w:t>
      </w:r>
    </w:p>
    <w:p>
      <w:pPr>
        <w:snapToGrid w:val="0"/>
        <w:spacing w:before="0" w:beforeAutospacing="0" w:after="0" w:afterAutospacing="0" w:line="570" w:lineRule="exact"/>
        <w:ind w:left="0" w:leftChars="0" w:firstLine="640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（六）无偿使用“东”字集体商标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第二条  </w:t>
      </w: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使用原则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严格执行国家有关法律、行政法规和会计准则等制度，坚持公开、公正、公平、科学、规范、效率和突出重点、专款专用的原则。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 xml:space="preserve">第三条  </w:t>
      </w: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奖励和补助范围及标准</w:t>
      </w:r>
    </w:p>
    <w:p>
      <w:pPr>
        <w:snapToGrid w:val="0"/>
        <w:spacing w:before="0" w:beforeAutospacing="0" w:after="0" w:afterAutospacing="0" w:line="570" w:lineRule="exact"/>
        <w:ind w:firstLine="643" w:firstLineChars="200"/>
        <w:jc w:val="both"/>
        <w:textAlignment w:val="baseline"/>
        <w:rPr>
          <w:rStyle w:val="7"/>
          <w:rFonts w:ascii="仿宋" w:hAnsi="仿宋" w:eastAsia="楷体" w:cs="Times New Roman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 w:cs="楷体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（一）规下企业升规提档奖励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对首次月度、年度新升规的企业分别奖励20万元、</w:t>
      </w:r>
      <w:bookmarkStart w:id="0" w:name="_GoBack"/>
      <w:r>
        <w:rPr>
          <w:rStyle w:val="7"/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15万</w:t>
      </w:r>
      <w:bookmarkEnd w:id="0"/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元，对第二年仍报送统计年、月报的，再奖励10万元。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（二）新增地方贡献奖励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19" w:leftChars="152" w:right="0" w:firstLine="320" w:firstLineChars="1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highlight w:val="yellow"/>
          <w:lang w:val="en-US" w:eastAsia="zh-CN" w:bidi="ar"/>
        </w:rPr>
      </w:pP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规上企业增加值及利润形成的地方综合贡献额以</w:t>
      </w:r>
      <w:r>
        <w:rPr>
          <w:rStyle w:val="7"/>
          <w:rFonts w:hint="eastAsia" w:ascii="仿宋_GB2312" w:hAnsi="仿宋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上一个年度</w:t>
      </w: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为基数（不足25万元的，按25万元计算），增长幅度在6%（含）以内，给予新增地方综合贡献额25%奖励；增长幅度在6%-12%（含）的，给予新增地方综合贡献额50%奖励；增长幅度在12%-20%（含）的，给予新增地方综合贡献额75%奖励，增长幅度在20%以上的，给予新增地方综合贡献额100%奖励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以上（一）（二）项除首次月度、年度上规奖励20万元、</w:t>
      </w:r>
      <w:r>
        <w:rPr>
          <w:rStyle w:val="7"/>
          <w:rFonts w:hint="eastAsia" w:ascii="仿宋_GB2312" w:hAnsi="仿宋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15万元</w:t>
      </w: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外</w:t>
      </w: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，实行从高不重复奖励。</w:t>
      </w:r>
    </w:p>
    <w:p>
      <w:pPr>
        <w:snapToGrid w:val="0"/>
        <w:spacing w:before="0" w:beforeAutospacing="0" w:after="0" w:afterAutospacing="0" w:line="570" w:lineRule="exact"/>
        <w:ind w:left="0" w:leftChars="0" w:firstLine="643" w:firstLineChars="200"/>
        <w:jc w:val="both"/>
        <w:textAlignment w:val="baseline"/>
        <w:rPr>
          <w:rStyle w:val="7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（三）</w:t>
      </w:r>
      <w:r>
        <w:rPr>
          <w:rStyle w:val="7"/>
          <w:rFonts w:hint="eastAsia" w:asci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超亿元企业</w:t>
      </w:r>
      <w:r>
        <w:rPr>
          <w:rStyle w:val="7"/>
          <w:rFonts w:ascii="仿宋_GB2312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hint="default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对纳入统计年度应税销售收入首次超过1亿元企业，给予一次性奖励50万元；首次超过2亿元企业，给予一次性奖励80万元；首次超过3亿元企业，给予一次性奖励100万元。</w:t>
      </w:r>
    </w:p>
    <w:p>
      <w:pPr>
        <w:snapToGrid w:val="0"/>
        <w:spacing w:before="0" w:beforeAutospacing="0" w:after="0" w:afterAutospacing="0" w:line="570" w:lineRule="exact"/>
        <w:ind w:firstLine="643" w:firstLineChars="200"/>
        <w:jc w:val="both"/>
        <w:textAlignment w:val="baseline"/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</w:t>
      </w:r>
      <w:r>
        <w:rPr>
          <w:rStyle w:val="7"/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</w:t>
      </w:r>
      <w:r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  <w:r>
        <w:rPr>
          <w:rStyle w:val="7"/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木材</w:t>
      </w:r>
      <w:r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经销商交易奖励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注册地在东阳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按实际销售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额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开具增值税发票的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限上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木材贸易企业，受票单位为规上或列入年度规上培育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（当年销售收入不低于1500万元）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我市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木雕红木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生产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企业，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且受票单位上报产值大于开票金额的，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给予发票开具金额（不含税）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0.5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%的奖励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0" w:lineRule="exact"/>
        <w:ind w:firstLine="643" w:firstLineChars="200"/>
        <w:jc w:val="both"/>
        <w:textAlignment w:val="baseline"/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(五）</w:t>
      </w:r>
      <w:r>
        <w:rPr>
          <w:rStyle w:val="7"/>
          <w:rFonts w:ascii="楷体" w:hAnsi="楷体" w:eastAsia="楷体" w:cs="楷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鼓励技术改造带动智能化转型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大</w:t>
      </w:r>
      <w:r>
        <w:rPr>
          <w:rStyle w:val="7"/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力支持企业开展智能化改造</w:t>
      </w:r>
      <w:r>
        <w:rPr>
          <w:rStyle w:val="7"/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当年申报时间内设备投资300万元以上，或者设备投资200万以上且设备加土建投资超过500万元，并及时纳入统计口径的规上企业投资项目，按设备投资额的10%给予奖励。单个项目奖励当年度最高不超过2000万元（项目可分年度申请奖励，但最长不超过3年）。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上述奖励超过企业当年地方综合贡献部分可在下一年度兑现，以此类推，可连续兑现三年。</w:t>
      </w:r>
    </w:p>
    <w:p>
      <w:pPr>
        <w:snapToGrid w:val="0"/>
        <w:spacing w:before="0" w:beforeAutospacing="0" w:after="0" w:afterAutospacing="0" w:line="570" w:lineRule="exact"/>
        <w:ind w:firstLine="482" w:firstLineChars="150"/>
        <w:jc w:val="both"/>
        <w:textAlignment w:val="baseline"/>
        <w:rPr>
          <w:rStyle w:val="7"/>
          <w:rFonts w:hint="eastAsia" w:ascii="仿宋_GB2312" w:hAnsi="仿宋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（六）无偿使用“东”字集体商标</w:t>
      </w:r>
    </w:p>
    <w:p>
      <w:pPr>
        <w:ind w:firstLine="640" w:firstLineChars="200"/>
        <w:jc w:val="left"/>
        <w:rPr>
          <w:rStyle w:val="7"/>
          <w:rFonts w:hint="default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规上或列入规上培育企业，遵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守《</w:t>
      </w:r>
      <w:r>
        <w:rPr>
          <w:rFonts w:hint="eastAsia" w:ascii="仿宋_GB2312" w:hAnsi="仿宋_GB2312" w:eastAsia="仿宋_GB2312" w:cs="仿宋_GB2312"/>
          <w:sz w:val="32"/>
          <w:szCs w:val="32"/>
        </w:rPr>
        <w:t>东阳市民营企业发展联合会“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32105" cy="323850"/>
            <wp:effectExtent l="0" t="0" r="10795" b="0"/>
            <wp:docPr id="7" name="图片 7" descr="06b7407fe638cec840ae77371dbf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6b7407fe638cec840ae77371dbf78b"/>
                    <pic:cNvPicPr>
                      <a:picLocks noChangeAspect="1"/>
                    </pic:cNvPicPr>
                  </pic:nvPicPr>
                  <pic:blipFill>
                    <a:blip r:embed="rId6"/>
                    <a:srcRect l="28799" t="20340" r="28000" b="19164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”集体商标使用管理规则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》和《东阳市民营企业发展联合会“ 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"C:\\Users\\Administrator\\AppData\\Roaming\\Tencent\\Users\\429749983\\QQ\\WinTemp\\RichOle\\TE3RA4MR@3U$Q8B7(CSYI~C.png"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191135" cy="215900"/>
            <wp:effectExtent l="0" t="0" r="18415" b="1270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”集体商标使用管理规则》，符合集体商标使用条件，在办理相关手续、</w:t>
      </w:r>
      <w:r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取得浙江省木雕红木家具产品质量检测中心出具的合格产品《检测报告》的，在其产品上或销售时可无偿使用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332105" cy="323850"/>
            <wp:effectExtent l="0" t="0" r="10795" b="0"/>
            <wp:docPr id="9" name="图片 9" descr="06b7407fe638cec840ae77371dbf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6b7407fe638cec840ae77371dbf78b"/>
                    <pic:cNvPicPr>
                      <a:picLocks noChangeAspect="1"/>
                    </pic:cNvPicPr>
                  </pic:nvPicPr>
                  <pic:blipFill>
                    <a:blip r:embed="rId6"/>
                    <a:srcRect l="28799" t="20340" r="28000" b="19164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和“ </w:t>
      </w:r>
      <w:r>
        <w:rPr>
          <w:rFonts w:ascii="宋体" w:hAnsi="宋体" w:cs="宋体"/>
          <w:sz w:val="24"/>
        </w:rPr>
        <w:fldChar w:fldCharType="begin"/>
      </w:r>
      <w:r>
        <w:rPr>
          <w:rFonts w:ascii="宋体" w:hAnsi="宋体" w:cs="宋体"/>
          <w:sz w:val="24"/>
        </w:rPr>
        <w:instrText xml:space="preserve">INCLUDEPICTURE \d "C:\\Users\\Administrator\\AppData\\Roaming\\Tencent\\Users\\429749983\\QQ\\WinTemp\\RichOle\\TE3RA4MR@3U$Q8B7(CSYI~C.png" \* MERGEFORMATINET </w:instrText>
      </w:r>
      <w:r>
        <w:rPr>
          <w:rFonts w:ascii="宋体" w:hAnsi="宋体" w:cs="宋体"/>
          <w:sz w:val="24"/>
        </w:rPr>
        <w:fldChar w:fldCharType="separate"/>
      </w:r>
      <w:r>
        <w:rPr>
          <w:rFonts w:ascii="宋体" w:hAnsi="宋体" w:cs="宋体"/>
          <w:sz w:val="24"/>
        </w:rPr>
        <w:drawing>
          <wp:inline distT="0" distB="0" distL="114300" distR="114300">
            <wp:extent cx="191135" cy="215900"/>
            <wp:effectExtent l="0" t="0" r="18415" b="12700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”</w:t>
      </w:r>
      <w:r>
        <w:rPr>
          <w:rStyle w:val="7"/>
          <w:rFonts w:hint="eastAsia" w:ascii="仿宋_GB2312" w:hAnsi="仿宋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集体商标。</w:t>
      </w:r>
    </w:p>
    <w:p>
      <w:pPr>
        <w:snapToGrid w:val="0"/>
        <w:spacing w:before="0" w:beforeAutospacing="0" w:after="0" w:afterAutospacing="0" w:line="570" w:lineRule="exact"/>
        <w:ind w:firstLine="643" w:firstLineChars="200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第四条</w:t>
      </w:r>
      <w:r>
        <w:rPr>
          <w:rStyle w:val="7"/>
          <w:rFonts w:hint="eastAsia" w:ascii="仿宋_GB2312" w:hAnsi="仿宋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除本办法规定的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补助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奖励政策外，木雕红木企业同时可择优享受工业企业的其它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补助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奖励政策。</w:t>
      </w:r>
    </w:p>
    <w:p>
      <w:pPr>
        <w:numPr>
          <w:ilvl w:val="0"/>
          <w:numId w:val="0"/>
        </w:numPr>
        <w:snapToGrid w:val="0"/>
        <w:spacing w:before="0" w:beforeAutospacing="0" w:after="0" w:afterAutospacing="0" w:line="570" w:lineRule="exact"/>
        <w:ind w:firstLine="643" w:firstLineChars="200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_GB2312" w:hAnsi="仿宋" w:eastAsia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第五条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附则</w:t>
      </w:r>
    </w:p>
    <w:p>
      <w:pPr>
        <w:snapToGrid w:val="0"/>
        <w:spacing w:before="0" w:beforeAutospacing="0" w:after="0" w:afterAutospacing="0" w:line="570" w:lineRule="exact"/>
        <w:ind w:firstLine="640" w:firstLineChars="200"/>
        <w:jc w:val="both"/>
        <w:textAlignment w:val="baseline"/>
        <w:rPr>
          <w:rStyle w:val="7"/>
          <w:rFonts w:ascii="仿宋_GB2312" w:hAnsi="仿宋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1.本办法中对企业的各项奖励补助，以不超过该企业当年地方综合贡献部分为限（当年新办企业升规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提档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奖励除外）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企业发生安全生产、环境污染等重大责任事故和重大群体性劳资纠纷事件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</w:rPr>
        <w:t>未完成效评值申报、拖欠税费以及其他严重税收违法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fill="FFFFFF"/>
          <w:lang w:eastAsia="zh-CN"/>
        </w:rPr>
        <w:t>，因产品质量、</w:t>
      </w:r>
      <w:r>
        <w:rPr>
          <w:rStyle w:val="7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侵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权等违法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行为受到行政处罚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以及</w:t>
      </w:r>
      <w:r>
        <w:rPr>
          <w:rStyle w:val="7"/>
          <w:rFonts w:hint="eastAsia" w:ascii="仿宋_GB2312" w:hAnsi="仿宋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企业亩产效益综合评价为D类的，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不能享受本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办法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中的扶持政策。</w:t>
      </w:r>
    </w:p>
    <w:p>
      <w:pPr>
        <w:snapToGrid w:val="0"/>
        <w:spacing w:before="0" w:beforeAutospacing="0" w:after="0" w:afterAutospacing="0" w:line="570" w:lineRule="exact"/>
        <w:ind w:firstLine="645"/>
        <w:jc w:val="both"/>
        <w:textAlignment w:val="baseline"/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2.本办法</w:t>
      </w:r>
      <w:r>
        <w:rPr>
          <w:rStyle w:val="7"/>
          <w:rFonts w:hint="eastAsia" w:ascii="仿宋" w:hAnsi="仿宋" w:eastAsia="仿宋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自2024年1月1日起执行，政策有效期三年，</w:t>
      </w:r>
      <w:r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由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市</w:t>
      </w:r>
      <w:r>
        <w:rPr>
          <w:rStyle w:val="7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市场监督管理局和</w:t>
      </w:r>
      <w:r>
        <w:rPr>
          <w:rStyle w:val="7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市</w:t>
      </w:r>
      <w:r>
        <w:rPr>
          <w:rStyle w:val="7"/>
          <w:rFonts w:ascii="仿宋_GB2312" w:hAnsi="仿宋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财政局负责解释。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E0BF8"/>
    <w:rsid w:val="03FB6426"/>
    <w:rsid w:val="055E355C"/>
    <w:rsid w:val="08851EEE"/>
    <w:rsid w:val="0B3620FF"/>
    <w:rsid w:val="0B7F6074"/>
    <w:rsid w:val="0BC6115D"/>
    <w:rsid w:val="0CE77D39"/>
    <w:rsid w:val="0D777923"/>
    <w:rsid w:val="108929BC"/>
    <w:rsid w:val="10BE6315"/>
    <w:rsid w:val="11591A84"/>
    <w:rsid w:val="135545A1"/>
    <w:rsid w:val="13E069FD"/>
    <w:rsid w:val="154E1087"/>
    <w:rsid w:val="181A4645"/>
    <w:rsid w:val="18C77A65"/>
    <w:rsid w:val="194D4980"/>
    <w:rsid w:val="1A416443"/>
    <w:rsid w:val="1EDD5DA9"/>
    <w:rsid w:val="1FA44AE9"/>
    <w:rsid w:val="2053721A"/>
    <w:rsid w:val="20650189"/>
    <w:rsid w:val="21CB71AC"/>
    <w:rsid w:val="226A06E7"/>
    <w:rsid w:val="22761046"/>
    <w:rsid w:val="22796DB5"/>
    <w:rsid w:val="232057F5"/>
    <w:rsid w:val="25814FAC"/>
    <w:rsid w:val="26143832"/>
    <w:rsid w:val="26A21A0D"/>
    <w:rsid w:val="26C355C1"/>
    <w:rsid w:val="27342242"/>
    <w:rsid w:val="27A14592"/>
    <w:rsid w:val="27AD1376"/>
    <w:rsid w:val="297740A5"/>
    <w:rsid w:val="2A4A0D9B"/>
    <w:rsid w:val="2AED2226"/>
    <w:rsid w:val="2D9217FB"/>
    <w:rsid w:val="2D9F71D0"/>
    <w:rsid w:val="31B92E94"/>
    <w:rsid w:val="32CB1702"/>
    <w:rsid w:val="34054D82"/>
    <w:rsid w:val="348F6FAC"/>
    <w:rsid w:val="34C654B5"/>
    <w:rsid w:val="353910B7"/>
    <w:rsid w:val="359765B4"/>
    <w:rsid w:val="37070554"/>
    <w:rsid w:val="37713630"/>
    <w:rsid w:val="382E1F80"/>
    <w:rsid w:val="388E007E"/>
    <w:rsid w:val="39B161F9"/>
    <w:rsid w:val="39C676A1"/>
    <w:rsid w:val="3BB74FBD"/>
    <w:rsid w:val="3D414B8A"/>
    <w:rsid w:val="42EA69BD"/>
    <w:rsid w:val="43027368"/>
    <w:rsid w:val="433068E6"/>
    <w:rsid w:val="437B1C5C"/>
    <w:rsid w:val="4444608A"/>
    <w:rsid w:val="44566B71"/>
    <w:rsid w:val="46361611"/>
    <w:rsid w:val="48EC2BB0"/>
    <w:rsid w:val="493C6BB3"/>
    <w:rsid w:val="4A0D0BCF"/>
    <w:rsid w:val="4B966FE4"/>
    <w:rsid w:val="4D464246"/>
    <w:rsid w:val="4E983F77"/>
    <w:rsid w:val="4EF875DD"/>
    <w:rsid w:val="4F472571"/>
    <w:rsid w:val="50483DAB"/>
    <w:rsid w:val="54100D53"/>
    <w:rsid w:val="5553092F"/>
    <w:rsid w:val="566E226A"/>
    <w:rsid w:val="5A4A2941"/>
    <w:rsid w:val="5AF57BF4"/>
    <w:rsid w:val="5B5D20F9"/>
    <w:rsid w:val="5C621AD5"/>
    <w:rsid w:val="600215DA"/>
    <w:rsid w:val="60F60054"/>
    <w:rsid w:val="6179393E"/>
    <w:rsid w:val="635836F4"/>
    <w:rsid w:val="64C93E88"/>
    <w:rsid w:val="656034C8"/>
    <w:rsid w:val="66892D21"/>
    <w:rsid w:val="66F61F38"/>
    <w:rsid w:val="672A1CDC"/>
    <w:rsid w:val="67B71C04"/>
    <w:rsid w:val="67F26EF7"/>
    <w:rsid w:val="682A71D6"/>
    <w:rsid w:val="6ADC53BD"/>
    <w:rsid w:val="6C1E3F7F"/>
    <w:rsid w:val="6E0C1F9D"/>
    <w:rsid w:val="6E8002B1"/>
    <w:rsid w:val="71D025A3"/>
    <w:rsid w:val="72396791"/>
    <w:rsid w:val="72477CBE"/>
    <w:rsid w:val="739B0D6D"/>
    <w:rsid w:val="74091FB6"/>
    <w:rsid w:val="745231E9"/>
    <w:rsid w:val="78157339"/>
    <w:rsid w:val="781637DA"/>
    <w:rsid w:val="78361BF2"/>
    <w:rsid w:val="78B021DB"/>
    <w:rsid w:val="79504D96"/>
    <w:rsid w:val="79B96062"/>
    <w:rsid w:val="79F77952"/>
    <w:rsid w:val="7A0A67C0"/>
    <w:rsid w:val="7AFD3D7F"/>
    <w:rsid w:val="7C191AF9"/>
    <w:rsid w:val="7D724AF5"/>
    <w:rsid w:val="7ECF5717"/>
    <w:rsid w:val="7F137F33"/>
    <w:rsid w:val="7FF03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UserStyle_1"/>
    <w:basedOn w:val="7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customStyle="1" w:styleId="11">
    <w:name w:val="Acetate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12">
    <w:name w:val="UserStyle_2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customStyle="1" w:styleId="13">
    <w:name w:val="UserStyle_3"/>
    <w:basedOn w:val="1"/>
    <w:qFormat/>
    <w:uiPriority w:val="0"/>
    <w:pPr>
      <w:jc w:val="both"/>
      <w:textAlignment w:val="baseline"/>
    </w:pPr>
    <w:rPr>
      <w:rFonts w:ascii="仿宋_GB2312" w:hAnsi="Times New Roman" w:eastAsia="仿宋_GB2312"/>
      <w:b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2021-12-13T06:58:00Z</dcterms:created>
  <dc:creator>Administrator</dc:creator>
  <cp:lastModifiedBy>Administrator</cp:lastModifiedBy>
  <cp:lastPrinted>2022-04-25T11:33:00Z</cp:lastPrinted>
  <dcterms:modified xsi:type="dcterms:W3CDTF">2024-01-12T01:02:30Z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13FD205011C2441AA6AA193B5750887B</vt:lpwstr>
  </property>
</Properties>
</file>