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B9E96">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温州湾新区、龙湾区</w:t>
      </w:r>
      <w:r>
        <w:rPr>
          <w:rFonts w:hint="eastAsia" w:ascii="方正小标宋简体" w:hAnsi="方正小标宋简体" w:eastAsia="方正小标宋简体" w:cs="方正小标宋简体"/>
          <w:sz w:val="44"/>
          <w:szCs w:val="44"/>
        </w:rPr>
        <w:t>国有企业资产</w:t>
      </w:r>
    </w:p>
    <w:p w14:paraId="5C0E8C07">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评估管理暂行办法</w:t>
      </w:r>
    </w:p>
    <w:p w14:paraId="2016F534">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p>
    <w:p w14:paraId="3B79DEA6">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center"/>
        <w:textAlignment w:val="auto"/>
        <w:rPr>
          <w:rFonts w:hint="eastAsia" w:ascii="仿宋_GB2312" w:hAnsi="仿宋_GB2312" w:eastAsia="仿宋_GB2312" w:cs="仿宋_GB2312"/>
          <w:sz w:val="32"/>
          <w:szCs w:val="32"/>
        </w:rPr>
      </w:pPr>
    </w:p>
    <w:p w14:paraId="337B61EF">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jc w:val="both"/>
        <w:rPr>
          <w:rFonts w:hint="eastAsia" w:ascii="黑体" w:hAnsi="黑体" w:eastAsia="黑体" w:cs="黑体"/>
          <w:color w:val="auto"/>
          <w:spacing w:val="-4"/>
          <w:kern w:val="0"/>
          <w:sz w:val="32"/>
          <w:szCs w:val="32"/>
          <w:lang w:eastAsia="zh-CN"/>
        </w:rPr>
      </w:pPr>
      <w:r>
        <w:rPr>
          <w:rFonts w:hint="eastAsia" w:ascii="黑体" w:hAnsi="黑体" w:eastAsia="黑体" w:cs="黑体"/>
          <w:color w:val="auto"/>
          <w:spacing w:val="-4"/>
          <w:kern w:val="0"/>
          <w:sz w:val="32"/>
          <w:szCs w:val="32"/>
          <w:lang w:val="en-US" w:eastAsia="zh-CN"/>
        </w:rPr>
        <w:t>一、</w:t>
      </w:r>
      <w:r>
        <w:rPr>
          <w:rFonts w:hint="eastAsia" w:ascii="黑体" w:hAnsi="黑体" w:eastAsia="黑体" w:cs="黑体"/>
          <w:color w:val="auto"/>
          <w:spacing w:val="-4"/>
          <w:kern w:val="0"/>
          <w:sz w:val="32"/>
          <w:szCs w:val="32"/>
          <w:lang w:eastAsia="zh-CN"/>
        </w:rPr>
        <w:t>总</w:t>
      </w:r>
      <w:r>
        <w:rPr>
          <w:rFonts w:hint="eastAsia" w:ascii="黑体" w:hAnsi="黑体" w:eastAsia="黑体" w:cs="黑体"/>
          <w:color w:val="auto"/>
          <w:spacing w:val="-4"/>
          <w:kern w:val="0"/>
          <w:sz w:val="32"/>
          <w:szCs w:val="32"/>
          <w:lang w:val="en-US" w:eastAsia="zh-CN"/>
        </w:rPr>
        <w:t xml:space="preserve"> </w:t>
      </w:r>
      <w:r>
        <w:rPr>
          <w:rFonts w:hint="eastAsia" w:ascii="黑体" w:hAnsi="黑体" w:eastAsia="黑体" w:cs="黑体"/>
          <w:color w:val="auto"/>
          <w:spacing w:val="-4"/>
          <w:kern w:val="0"/>
          <w:sz w:val="32"/>
          <w:szCs w:val="32"/>
          <w:lang w:eastAsia="zh-CN"/>
        </w:rPr>
        <w:t xml:space="preserve"> 则</w:t>
      </w:r>
    </w:p>
    <w:p w14:paraId="23C0D006">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一）</w:t>
      </w:r>
      <w:r>
        <w:rPr>
          <w:rFonts w:hint="eastAsia" w:ascii="仿宋_GB2312" w:hAnsi="仿宋_GB2312" w:eastAsia="仿宋_GB2312" w:cs="仿宋_GB2312"/>
          <w:color w:val="auto"/>
          <w:spacing w:val="-4"/>
          <w:sz w:val="32"/>
          <w:szCs w:val="32"/>
        </w:rPr>
        <w:t>为规范</w:t>
      </w:r>
      <w:r>
        <w:rPr>
          <w:rFonts w:hint="eastAsia" w:ascii="仿宋_GB2312" w:hAnsi="仿宋_GB2312" w:eastAsia="仿宋_GB2312" w:cs="仿宋_GB2312"/>
          <w:color w:val="auto"/>
          <w:spacing w:val="-4"/>
          <w:sz w:val="32"/>
          <w:szCs w:val="32"/>
          <w:lang w:val="en-US" w:eastAsia="zh-CN"/>
        </w:rPr>
        <w:t>温州湾新区、龙湾区</w:t>
      </w:r>
      <w:r>
        <w:rPr>
          <w:rFonts w:hint="eastAsia" w:ascii="仿宋_GB2312" w:hAnsi="仿宋_GB2312" w:eastAsia="仿宋_GB2312" w:cs="仿宋_GB2312"/>
          <w:color w:val="auto"/>
          <w:spacing w:val="-4"/>
          <w:sz w:val="32"/>
          <w:szCs w:val="32"/>
        </w:rPr>
        <w:t>国有企业资产评估行为，维护国有出资人合法权益，根据《</w:t>
      </w:r>
      <w:r>
        <w:rPr>
          <w:rFonts w:hint="eastAsia" w:ascii="仿宋_GB2312" w:hAnsi="仿宋_GB2312" w:eastAsia="仿宋_GB2312" w:cs="仿宋_GB2312"/>
          <w:color w:val="auto"/>
          <w:spacing w:val="-4"/>
          <w:kern w:val="2"/>
          <w:sz w:val="32"/>
          <w:szCs w:val="32"/>
          <w:lang w:val="en-US" w:eastAsia="zh-CN"/>
        </w:rPr>
        <w:t>中华人民共和国</w:t>
      </w:r>
      <w:r>
        <w:rPr>
          <w:rFonts w:hint="eastAsia" w:ascii="仿宋_GB2312" w:hAnsi="仿宋_GB2312" w:eastAsia="仿宋_GB2312" w:cs="仿宋_GB2312"/>
          <w:color w:val="auto"/>
          <w:spacing w:val="-4"/>
          <w:sz w:val="32"/>
          <w:szCs w:val="32"/>
        </w:rPr>
        <w:t>企业国有资产法》</w:t>
      </w:r>
      <w:r>
        <w:rPr>
          <w:rFonts w:hint="eastAsia" w:ascii="仿宋_GB2312" w:hAnsi="仿宋_GB2312" w:eastAsia="仿宋_GB2312" w:cs="仿宋_GB2312"/>
          <w:color w:val="auto"/>
          <w:spacing w:val="-4"/>
          <w:kern w:val="2"/>
          <w:sz w:val="32"/>
          <w:szCs w:val="32"/>
          <w:lang w:val="en-US" w:eastAsia="zh-CN"/>
        </w:rPr>
        <w:t>《中华人民共和国资产评估法》</w:t>
      </w:r>
      <w:r>
        <w:rPr>
          <w:rFonts w:hint="eastAsia" w:ascii="仿宋_GB2312" w:hAnsi="仿宋_GB2312" w:eastAsia="仿宋_GB2312" w:cs="仿宋_GB2312"/>
          <w:color w:val="auto"/>
          <w:spacing w:val="-4"/>
          <w:sz w:val="32"/>
          <w:szCs w:val="32"/>
        </w:rPr>
        <w:t>《企业国有资产监督管理暂行条例》《企业国有资产评估管理暂行办法》《浙江省企业国有资产监督管理办法》等法律、法规、规章，制定本办法。</w:t>
      </w:r>
    </w:p>
    <w:p w14:paraId="250BA810">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jc w:val="both"/>
        <w:textAlignment w:val="auto"/>
        <w:rPr>
          <w:rFonts w:hint="eastAsia" w:ascii="仿宋_GB2312" w:hAnsi="仿宋_GB2312" w:eastAsia="仿宋_GB2312" w:cs="仿宋_GB2312"/>
          <w:color w:val="0000FF"/>
          <w:spacing w:val="-4"/>
          <w:sz w:val="32"/>
          <w:szCs w:val="32"/>
        </w:rPr>
      </w:pP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二）</w:t>
      </w:r>
      <w:r>
        <w:rPr>
          <w:rFonts w:hint="eastAsia" w:ascii="仿宋_GB2312" w:hAnsi="仿宋_GB2312" w:eastAsia="仿宋_GB2312" w:cs="仿宋_GB2312"/>
          <w:color w:val="auto"/>
          <w:spacing w:val="-4"/>
          <w:sz w:val="32"/>
          <w:szCs w:val="32"/>
        </w:rPr>
        <w:t>本办法适用范围为</w:t>
      </w:r>
      <w:r>
        <w:rPr>
          <w:rFonts w:hint="eastAsia" w:ascii="仿宋_GB2312" w:hAnsi="仿宋_GB2312" w:eastAsia="仿宋_GB2312" w:cs="仿宋_GB2312"/>
          <w:color w:val="auto"/>
          <w:spacing w:val="-4"/>
          <w:sz w:val="32"/>
          <w:szCs w:val="32"/>
          <w:lang w:val="en"/>
        </w:rPr>
        <w:t>温州高新技术产业开发区管理委员会、</w:t>
      </w:r>
      <w:r>
        <w:rPr>
          <w:rFonts w:hint="eastAsia" w:ascii="仿宋_GB2312" w:hAnsi="仿宋_GB2312" w:eastAsia="仿宋_GB2312" w:cs="仿宋_GB2312"/>
          <w:color w:val="auto"/>
          <w:spacing w:val="-4"/>
          <w:sz w:val="32"/>
          <w:szCs w:val="32"/>
          <w:lang w:val="en"/>
        </w:rPr>
        <w:fldChar w:fldCharType="begin"/>
      </w:r>
      <w:r>
        <w:rPr>
          <w:rFonts w:hint="eastAsia" w:ascii="仿宋_GB2312" w:hAnsi="仿宋_GB2312" w:eastAsia="仿宋_GB2312" w:cs="仿宋_GB2312"/>
          <w:color w:val="auto"/>
          <w:spacing w:val="-4"/>
          <w:sz w:val="32"/>
          <w:szCs w:val="32"/>
          <w:lang w:val="en"/>
        </w:rPr>
        <w:instrText xml:space="preserve"> HYPERLINK "https://aiqicha.baidu.com/company_detail_27340816786083" \t "https://aiqicha.baidu.com/detail/_blank" </w:instrText>
      </w:r>
      <w:r>
        <w:rPr>
          <w:rFonts w:hint="eastAsia" w:ascii="仿宋_GB2312" w:hAnsi="仿宋_GB2312" w:eastAsia="仿宋_GB2312" w:cs="仿宋_GB2312"/>
          <w:color w:val="auto"/>
          <w:spacing w:val="-4"/>
          <w:sz w:val="32"/>
          <w:szCs w:val="32"/>
          <w:lang w:val="en"/>
        </w:rPr>
        <w:fldChar w:fldCharType="separate"/>
      </w:r>
      <w:r>
        <w:rPr>
          <w:rFonts w:hint="eastAsia" w:ascii="仿宋_GB2312" w:hAnsi="仿宋_GB2312" w:eastAsia="仿宋_GB2312" w:cs="仿宋_GB2312"/>
          <w:color w:val="auto"/>
          <w:spacing w:val="-4"/>
          <w:sz w:val="32"/>
          <w:szCs w:val="32"/>
          <w:lang w:val="en"/>
        </w:rPr>
        <w:t>温州经济技术开发区管理委员会</w:t>
      </w:r>
      <w:r>
        <w:rPr>
          <w:rFonts w:hint="eastAsia" w:ascii="仿宋_GB2312" w:hAnsi="仿宋_GB2312" w:eastAsia="仿宋_GB2312" w:cs="仿宋_GB2312"/>
          <w:color w:val="auto"/>
          <w:spacing w:val="-4"/>
          <w:sz w:val="32"/>
          <w:szCs w:val="32"/>
          <w:lang w:val="en"/>
        </w:rPr>
        <w:fldChar w:fldCharType="end"/>
      </w:r>
      <w:r>
        <w:rPr>
          <w:rFonts w:hint="eastAsia" w:ascii="仿宋_GB2312" w:hAnsi="仿宋_GB2312" w:eastAsia="仿宋_GB2312" w:cs="仿宋_GB2312"/>
          <w:color w:val="auto"/>
          <w:spacing w:val="-4"/>
          <w:sz w:val="32"/>
          <w:szCs w:val="32"/>
          <w:lang w:val="en"/>
        </w:rPr>
        <w:t>、</w:t>
      </w:r>
      <w:r>
        <w:rPr>
          <w:rFonts w:hint="eastAsia" w:ascii="仿宋_GB2312" w:hAnsi="仿宋_GB2312" w:eastAsia="仿宋_GB2312" w:cs="仿宋_GB2312"/>
          <w:color w:val="auto"/>
          <w:spacing w:val="-4"/>
          <w:sz w:val="32"/>
          <w:szCs w:val="32"/>
        </w:rPr>
        <w:t>温州湾新区财政局、温州经济技术开发区财政局、</w:t>
      </w:r>
      <w:r>
        <w:rPr>
          <w:rFonts w:hint="eastAsia" w:ascii="仿宋_GB2312" w:hAnsi="仿宋_GB2312" w:eastAsia="仿宋_GB2312" w:cs="仿宋_GB2312"/>
          <w:color w:val="auto"/>
          <w:spacing w:val="-4"/>
          <w:sz w:val="32"/>
          <w:szCs w:val="32"/>
          <w:lang w:val="en"/>
        </w:rPr>
        <w:fldChar w:fldCharType="begin"/>
      </w:r>
      <w:r>
        <w:rPr>
          <w:rFonts w:hint="eastAsia" w:ascii="仿宋_GB2312" w:hAnsi="仿宋_GB2312" w:eastAsia="仿宋_GB2312" w:cs="仿宋_GB2312"/>
          <w:color w:val="auto"/>
          <w:spacing w:val="-4"/>
          <w:sz w:val="32"/>
          <w:szCs w:val="32"/>
          <w:lang w:val="en"/>
        </w:rPr>
        <w:instrText xml:space="preserve"> HYPERLINK "https://aiqicha.baidu.com/company_detail_48553584972254" \t "https://aiqicha.baidu.com/_blank" </w:instrText>
      </w:r>
      <w:r>
        <w:rPr>
          <w:rFonts w:hint="eastAsia" w:ascii="仿宋_GB2312" w:hAnsi="仿宋_GB2312" w:eastAsia="仿宋_GB2312" w:cs="仿宋_GB2312"/>
          <w:color w:val="auto"/>
          <w:spacing w:val="-4"/>
          <w:sz w:val="32"/>
          <w:szCs w:val="32"/>
          <w:lang w:val="en"/>
        </w:rPr>
        <w:fldChar w:fldCharType="separate"/>
      </w:r>
      <w:r>
        <w:rPr>
          <w:rFonts w:hint="eastAsia" w:ascii="仿宋_GB2312" w:hAnsi="仿宋_GB2312" w:eastAsia="仿宋_GB2312" w:cs="仿宋_GB2312"/>
          <w:color w:val="auto"/>
          <w:spacing w:val="-4"/>
          <w:sz w:val="32"/>
          <w:szCs w:val="32"/>
          <w:lang w:val="en"/>
        </w:rPr>
        <w:t>温州东部交通枢纽建设管理中心</w:t>
      </w:r>
      <w:r>
        <w:rPr>
          <w:rFonts w:hint="eastAsia" w:ascii="仿宋_GB2312" w:hAnsi="仿宋_GB2312" w:eastAsia="仿宋_GB2312" w:cs="仿宋_GB2312"/>
          <w:color w:val="auto"/>
          <w:spacing w:val="-4"/>
          <w:sz w:val="32"/>
          <w:szCs w:val="32"/>
          <w:lang w:val="en"/>
        </w:rPr>
        <w:fldChar w:fldCharType="end"/>
      </w:r>
      <w:r>
        <w:rPr>
          <w:rFonts w:hint="eastAsia" w:ascii="仿宋_GB2312" w:hAnsi="仿宋_GB2312" w:eastAsia="仿宋_GB2312" w:cs="仿宋_GB2312"/>
          <w:color w:val="auto"/>
          <w:spacing w:val="-4"/>
          <w:sz w:val="32"/>
          <w:szCs w:val="32"/>
          <w:lang w:val="en"/>
        </w:rPr>
        <w:t>、温州市龙湾城市中心区开发建设管理委员会、</w:t>
      </w:r>
      <w:r>
        <w:rPr>
          <w:rFonts w:hint="eastAsia" w:ascii="仿宋_GB2312" w:hAnsi="仿宋_GB2312" w:eastAsia="仿宋_GB2312" w:cs="仿宋_GB2312"/>
          <w:color w:val="auto"/>
          <w:spacing w:val="-4"/>
          <w:sz w:val="32"/>
          <w:szCs w:val="32"/>
        </w:rPr>
        <w:t>温州市龙湾区财政局、高新区财政局、龙湾区政府国有资产监督管理办公室出资或监管的</w:t>
      </w:r>
      <w:r>
        <w:rPr>
          <w:rFonts w:hint="eastAsia" w:ascii="仿宋_GB2312" w:hAnsi="仿宋_GB2312" w:eastAsia="仿宋_GB2312" w:cs="仿宋_GB2312"/>
          <w:color w:val="auto"/>
          <w:spacing w:val="-4"/>
          <w:sz w:val="32"/>
          <w:szCs w:val="32"/>
          <w:lang w:val="en"/>
        </w:rPr>
        <w:t>国有及国有控股企业、</w:t>
      </w:r>
      <w:r>
        <w:rPr>
          <w:rFonts w:hint="eastAsia" w:ascii="仿宋_GB2312" w:hAnsi="仿宋_GB2312" w:eastAsia="仿宋_GB2312" w:cs="仿宋_GB2312"/>
          <w:color w:val="auto"/>
          <w:spacing w:val="-4"/>
          <w:sz w:val="32"/>
          <w:szCs w:val="32"/>
        </w:rPr>
        <w:t>国有实际控制企业</w:t>
      </w:r>
      <w:r>
        <w:rPr>
          <w:rFonts w:hint="eastAsia" w:ascii="仿宋_GB2312" w:hAnsi="仿宋_GB2312" w:eastAsia="仿宋_GB2312" w:cs="仿宋_GB2312"/>
          <w:color w:val="0000FF"/>
          <w:spacing w:val="-4"/>
          <w:sz w:val="32"/>
          <w:szCs w:val="32"/>
        </w:rPr>
        <w:t>。</w:t>
      </w:r>
    </w:p>
    <w:p w14:paraId="7CD607B4">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三）</w:t>
      </w:r>
      <w:r>
        <w:rPr>
          <w:rFonts w:hint="eastAsia" w:ascii="仿宋_GB2312" w:hAnsi="仿宋_GB2312" w:eastAsia="仿宋_GB2312" w:cs="仿宋_GB2312"/>
          <w:color w:val="auto"/>
          <w:spacing w:val="-4"/>
          <w:sz w:val="32"/>
          <w:szCs w:val="32"/>
          <w:lang w:eastAsia="zh-CN"/>
        </w:rPr>
        <w:t>区</w:t>
      </w:r>
      <w:r>
        <w:rPr>
          <w:rFonts w:hint="eastAsia" w:ascii="仿宋_GB2312" w:hAnsi="仿宋_GB2312" w:eastAsia="仿宋_GB2312" w:cs="仿宋_GB2312"/>
          <w:color w:val="auto"/>
          <w:spacing w:val="-4"/>
          <w:sz w:val="32"/>
          <w:szCs w:val="32"/>
          <w:lang w:val="en-US" w:eastAsia="zh-CN"/>
        </w:rPr>
        <w:t>国资办</w:t>
      </w:r>
      <w:r>
        <w:rPr>
          <w:rFonts w:hint="eastAsia" w:ascii="仿宋_GB2312" w:hAnsi="仿宋_GB2312" w:eastAsia="仿宋_GB2312" w:cs="仿宋_GB2312"/>
          <w:color w:val="auto"/>
          <w:spacing w:val="-4"/>
          <w:sz w:val="32"/>
          <w:szCs w:val="32"/>
        </w:rPr>
        <w:t>指导和监督国有企业资产评估工作，主要职责是：</w:t>
      </w:r>
    </w:p>
    <w:p w14:paraId="5B5A1573">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jc w:val="both"/>
        <w:textAlignment w:val="auto"/>
        <w:rPr>
          <w:rFonts w:hint="eastAsia" w:ascii="仿宋_GB2312" w:hAnsi="仿宋_GB2312" w:eastAsia="仿宋_GB2312" w:cs="仿宋_GB2312"/>
          <w:strike/>
          <w:dstrike w:val="0"/>
          <w:color w:val="auto"/>
          <w:spacing w:val="-4"/>
          <w:sz w:val="32"/>
          <w:szCs w:val="32"/>
        </w:rPr>
      </w:pPr>
      <w:r>
        <w:rPr>
          <w:rFonts w:hint="eastAsia" w:ascii="仿宋_GB2312" w:hAnsi="仿宋_GB2312" w:eastAsia="仿宋_GB2312" w:cs="仿宋_GB2312"/>
          <w:color w:val="auto"/>
          <w:spacing w:val="-4"/>
          <w:sz w:val="32"/>
          <w:szCs w:val="32"/>
          <w:lang w:val="en-US" w:eastAsia="zh-CN"/>
        </w:rPr>
        <w:t>1.</w:t>
      </w:r>
      <w:r>
        <w:rPr>
          <w:rFonts w:hint="eastAsia" w:ascii="仿宋_GB2312" w:hAnsi="仿宋_GB2312" w:eastAsia="仿宋_GB2312" w:cs="仿宋_GB2312"/>
          <w:color w:val="auto"/>
          <w:spacing w:val="-4"/>
          <w:sz w:val="32"/>
          <w:szCs w:val="32"/>
        </w:rPr>
        <w:t xml:space="preserve">执行国家有关资产评估的相关规定，制定相关规范性文件； </w:t>
      </w:r>
    </w:p>
    <w:p w14:paraId="7BD172B2">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2.</w:t>
      </w:r>
      <w:r>
        <w:rPr>
          <w:rFonts w:hint="eastAsia" w:ascii="仿宋_GB2312" w:hAnsi="仿宋_GB2312" w:eastAsia="仿宋_GB2312" w:cs="仿宋_GB2312"/>
          <w:color w:val="auto"/>
          <w:spacing w:val="-4"/>
          <w:sz w:val="32"/>
          <w:szCs w:val="32"/>
        </w:rPr>
        <w:t xml:space="preserve">依照规定权限，对企业国有资产评估项目进行核准或备案； </w:t>
      </w:r>
    </w:p>
    <w:p w14:paraId="0789ED24">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jc w:val="both"/>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val="en-US" w:eastAsia="zh-CN"/>
        </w:rPr>
        <w:t>3.</w:t>
      </w:r>
      <w:r>
        <w:rPr>
          <w:rFonts w:hint="eastAsia" w:ascii="仿宋_GB2312" w:hAnsi="仿宋_GB2312" w:eastAsia="仿宋_GB2312" w:cs="仿宋_GB2312"/>
          <w:color w:val="auto"/>
          <w:spacing w:val="-4"/>
          <w:sz w:val="32"/>
          <w:szCs w:val="32"/>
        </w:rPr>
        <w:t>对企业资产评估工作进行指导、监督和检查；</w:t>
      </w:r>
    </w:p>
    <w:p w14:paraId="6B133431">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4.</w:t>
      </w:r>
      <w:r>
        <w:rPr>
          <w:rFonts w:hint="eastAsia" w:ascii="仿宋_GB2312" w:hAnsi="仿宋_GB2312" w:eastAsia="仿宋_GB2312" w:cs="仿宋_GB2312"/>
          <w:color w:val="auto"/>
          <w:spacing w:val="-4"/>
          <w:sz w:val="32"/>
          <w:szCs w:val="32"/>
        </w:rPr>
        <w:t>法律、法规、规章规定的其他职责。</w:t>
      </w:r>
    </w:p>
    <w:p w14:paraId="684BA624">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四）区属</w:t>
      </w:r>
      <w:r>
        <w:rPr>
          <w:rFonts w:hint="eastAsia" w:ascii="仿宋_GB2312" w:hAnsi="仿宋_GB2312" w:eastAsia="仿宋_GB2312" w:cs="仿宋_GB2312"/>
          <w:color w:val="auto"/>
          <w:spacing w:val="-4"/>
          <w:sz w:val="32"/>
          <w:szCs w:val="32"/>
        </w:rPr>
        <w:t>国有企业是本企业及其所属企业资产评估工作的责任主体，主要职责是：</w:t>
      </w:r>
    </w:p>
    <w:p w14:paraId="0639A0D6">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1.</w:t>
      </w:r>
      <w:r>
        <w:rPr>
          <w:rFonts w:hint="eastAsia" w:ascii="仿宋_GB2312" w:hAnsi="仿宋_GB2312" w:eastAsia="仿宋_GB2312" w:cs="仿宋_GB2312"/>
          <w:color w:val="auto"/>
          <w:spacing w:val="-4"/>
          <w:sz w:val="32"/>
          <w:szCs w:val="32"/>
        </w:rPr>
        <w:t>根据本办法制定企业内部的资产评估管理实施办法，</w:t>
      </w:r>
      <w:r>
        <w:rPr>
          <w:rFonts w:hint="eastAsia" w:ascii="仿宋_GB2312" w:hAnsi="仿宋_GB2312" w:eastAsia="仿宋_GB2312" w:cs="仿宋_GB2312"/>
          <w:color w:val="auto"/>
          <w:spacing w:val="-4"/>
          <w:sz w:val="32"/>
          <w:szCs w:val="32"/>
          <w:lang w:eastAsia="zh-CN"/>
        </w:rPr>
        <w:t>指定专门</w:t>
      </w:r>
      <w:r>
        <w:rPr>
          <w:rFonts w:hint="eastAsia" w:ascii="仿宋_GB2312" w:hAnsi="仿宋_GB2312" w:eastAsia="仿宋_GB2312" w:cs="仿宋_GB2312"/>
          <w:color w:val="auto"/>
          <w:spacing w:val="-4"/>
          <w:sz w:val="32"/>
          <w:szCs w:val="32"/>
        </w:rPr>
        <w:t>部门</w:t>
      </w:r>
      <w:r>
        <w:rPr>
          <w:rFonts w:hint="eastAsia" w:ascii="仿宋_GB2312" w:hAnsi="仿宋_GB2312" w:eastAsia="仿宋_GB2312" w:cs="仿宋_GB2312"/>
          <w:color w:val="auto"/>
          <w:spacing w:val="-4"/>
          <w:sz w:val="32"/>
          <w:szCs w:val="32"/>
          <w:lang w:eastAsia="zh-CN"/>
        </w:rPr>
        <w:t>和人员负责资产评估管理工作，做好相关业务培训</w:t>
      </w:r>
      <w:r>
        <w:rPr>
          <w:rFonts w:hint="eastAsia" w:ascii="仿宋_GB2312" w:hAnsi="仿宋_GB2312" w:eastAsia="仿宋_GB2312" w:cs="仿宋_GB2312"/>
          <w:color w:val="auto"/>
          <w:spacing w:val="-4"/>
          <w:sz w:val="32"/>
          <w:szCs w:val="32"/>
        </w:rPr>
        <w:t>；</w:t>
      </w:r>
    </w:p>
    <w:p w14:paraId="44740FF6">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2.</w:t>
      </w:r>
      <w:r>
        <w:rPr>
          <w:rFonts w:hint="eastAsia" w:ascii="仿宋_GB2312" w:hAnsi="仿宋_GB2312" w:eastAsia="仿宋_GB2312" w:cs="仿宋_GB2312"/>
          <w:color w:val="auto"/>
          <w:spacing w:val="-4"/>
          <w:sz w:val="32"/>
          <w:szCs w:val="32"/>
        </w:rPr>
        <w:t>负责做好规定权限范围内的资产评估项目备案工作；</w:t>
      </w:r>
    </w:p>
    <w:p w14:paraId="0250CDB1">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jc w:val="both"/>
        <w:textAlignment w:val="auto"/>
        <w:rPr>
          <w:rFonts w:hint="eastAsia" w:ascii="仿宋_GB2312" w:hAnsi="仿宋_GB2312" w:eastAsia="仿宋_GB2312" w:cs="仿宋_GB2312"/>
          <w:strike/>
          <w:dstrike w:val="0"/>
          <w:color w:val="auto"/>
          <w:spacing w:val="-4"/>
          <w:sz w:val="32"/>
          <w:szCs w:val="32"/>
          <w:lang w:eastAsia="zh-CN"/>
        </w:rPr>
      </w:pPr>
      <w:r>
        <w:rPr>
          <w:rFonts w:hint="eastAsia" w:ascii="仿宋_GB2312" w:hAnsi="仿宋_GB2312" w:eastAsia="仿宋_GB2312" w:cs="仿宋_GB2312"/>
          <w:strike w:val="0"/>
          <w:dstrike w:val="0"/>
          <w:color w:val="auto"/>
          <w:spacing w:val="-4"/>
          <w:sz w:val="32"/>
          <w:szCs w:val="32"/>
          <w:lang w:val="en-US" w:eastAsia="zh-CN"/>
        </w:rPr>
        <w:t>3.</w:t>
      </w:r>
      <w:r>
        <w:rPr>
          <w:rFonts w:hint="eastAsia" w:ascii="仿宋_GB2312" w:hAnsi="仿宋_GB2312" w:eastAsia="仿宋_GB2312" w:cs="仿宋_GB2312"/>
          <w:strike w:val="0"/>
          <w:dstrike w:val="0"/>
          <w:color w:val="auto"/>
          <w:spacing w:val="-4"/>
          <w:sz w:val="32"/>
          <w:szCs w:val="32"/>
          <w:lang w:eastAsia="zh-CN"/>
        </w:rPr>
        <w:t>采取单独或联合等合适方式，建立适应本企业各类评估业务需求的评估机构备选库</w:t>
      </w:r>
      <w:r>
        <w:rPr>
          <w:rFonts w:hint="eastAsia" w:ascii="仿宋_GB2312" w:hAnsi="仿宋_GB2312" w:eastAsia="仿宋_GB2312" w:cs="仿宋_GB2312"/>
          <w:color w:val="auto"/>
          <w:sz w:val="32"/>
          <w:szCs w:val="32"/>
          <w:lang w:eastAsia="zh-CN"/>
        </w:rPr>
        <w:t>，并建立健全评估机构选聘管理制度；</w:t>
      </w:r>
    </w:p>
    <w:p w14:paraId="7CB9FD4C">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jc w:val="left"/>
        <w:textAlignment w:val="auto"/>
        <w:rPr>
          <w:rFonts w:hint="eastAsia" w:ascii="仿宋_GB2312" w:hAnsi="仿宋_GB2312" w:eastAsia="仿宋_GB2312" w:cs="仿宋_GB2312"/>
          <w:strike w:val="0"/>
          <w:dstrike w:val="0"/>
          <w:color w:val="auto"/>
          <w:spacing w:val="-4"/>
          <w:sz w:val="32"/>
          <w:szCs w:val="32"/>
          <w:lang w:eastAsia="zh-CN"/>
        </w:rPr>
      </w:pPr>
      <w:r>
        <w:rPr>
          <w:rFonts w:hint="eastAsia" w:ascii="仿宋_GB2312" w:hAnsi="仿宋_GB2312" w:eastAsia="仿宋_GB2312" w:cs="仿宋_GB2312"/>
          <w:strike w:val="0"/>
          <w:dstrike w:val="0"/>
          <w:color w:val="auto"/>
          <w:spacing w:val="-4"/>
          <w:sz w:val="32"/>
          <w:szCs w:val="32"/>
          <w:lang w:val="en-US" w:eastAsia="zh-CN"/>
        </w:rPr>
        <w:t>4.</w:t>
      </w:r>
      <w:r>
        <w:rPr>
          <w:rFonts w:hint="eastAsia" w:ascii="仿宋_GB2312" w:hAnsi="仿宋_GB2312" w:eastAsia="仿宋_GB2312" w:cs="仿宋_GB2312"/>
          <w:strike w:val="0"/>
          <w:dstrike w:val="0"/>
          <w:color w:val="auto"/>
          <w:spacing w:val="-4"/>
          <w:sz w:val="32"/>
          <w:szCs w:val="32"/>
          <w:lang w:eastAsia="zh-CN"/>
        </w:rPr>
        <w:t>对所属企业开展的资产评估工作进行业务指导、监督和检查，配合</w:t>
      </w:r>
      <w:r>
        <w:rPr>
          <w:rFonts w:hint="eastAsia" w:ascii="仿宋_GB2312" w:hAnsi="仿宋_GB2312" w:eastAsia="仿宋_GB2312" w:cs="仿宋_GB2312"/>
          <w:strike w:val="0"/>
          <w:dstrike w:val="0"/>
          <w:color w:val="auto"/>
          <w:spacing w:val="-4"/>
          <w:sz w:val="32"/>
          <w:szCs w:val="32"/>
          <w:lang w:val="en-US" w:eastAsia="zh-CN"/>
        </w:rPr>
        <w:t>区国资办</w:t>
      </w:r>
      <w:r>
        <w:rPr>
          <w:rFonts w:hint="eastAsia" w:ascii="仿宋_GB2312" w:hAnsi="仿宋_GB2312" w:eastAsia="仿宋_GB2312" w:cs="仿宋_GB2312"/>
          <w:strike w:val="0"/>
          <w:dstrike w:val="0"/>
          <w:color w:val="auto"/>
          <w:spacing w:val="-4"/>
          <w:sz w:val="32"/>
          <w:szCs w:val="32"/>
          <w:lang w:eastAsia="zh-CN"/>
        </w:rPr>
        <w:t>的监督检查工作；</w:t>
      </w:r>
    </w:p>
    <w:p w14:paraId="2BE5CE3B">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strike w:val="0"/>
          <w:dstrike w:val="0"/>
          <w:color w:val="auto"/>
          <w:spacing w:val="-4"/>
          <w:sz w:val="32"/>
          <w:szCs w:val="32"/>
          <w:lang w:val="en-US" w:eastAsia="zh-CN"/>
        </w:rPr>
        <w:t>5.</w:t>
      </w:r>
      <w:r>
        <w:rPr>
          <w:rFonts w:hint="eastAsia" w:ascii="仿宋_GB2312" w:hAnsi="仿宋_GB2312" w:eastAsia="仿宋_GB2312" w:cs="仿宋_GB2312"/>
          <w:color w:val="auto"/>
          <w:spacing w:val="-4"/>
          <w:sz w:val="32"/>
          <w:szCs w:val="32"/>
          <w:lang w:eastAsia="zh-CN"/>
        </w:rPr>
        <w:t>区</w:t>
      </w:r>
      <w:r>
        <w:rPr>
          <w:rFonts w:hint="eastAsia" w:ascii="仿宋_GB2312" w:hAnsi="仿宋_GB2312" w:eastAsia="仿宋_GB2312" w:cs="仿宋_GB2312"/>
          <w:color w:val="auto"/>
          <w:spacing w:val="-4"/>
          <w:sz w:val="32"/>
          <w:szCs w:val="32"/>
          <w:lang w:val="en-US" w:eastAsia="zh-CN"/>
        </w:rPr>
        <w:t>国资办</w:t>
      </w:r>
      <w:r>
        <w:rPr>
          <w:rFonts w:hint="eastAsia" w:ascii="仿宋_GB2312" w:hAnsi="仿宋_GB2312" w:eastAsia="仿宋_GB2312" w:cs="仿宋_GB2312"/>
          <w:color w:val="auto"/>
          <w:spacing w:val="-4"/>
          <w:sz w:val="32"/>
          <w:szCs w:val="32"/>
        </w:rPr>
        <w:t>规定的其他职责。</w:t>
      </w:r>
    </w:p>
    <w:p w14:paraId="7E4DCFD4">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jc w:val="both"/>
        <w:rPr>
          <w:rFonts w:hint="eastAsia" w:ascii="黑体" w:hAnsi="黑体" w:eastAsia="黑体" w:cs="黑体"/>
          <w:color w:val="auto"/>
          <w:spacing w:val="-4"/>
          <w:kern w:val="0"/>
          <w:sz w:val="32"/>
          <w:szCs w:val="32"/>
          <w:lang w:val="en-US" w:eastAsia="zh-CN"/>
        </w:rPr>
      </w:pPr>
      <w:r>
        <w:rPr>
          <w:rFonts w:hint="eastAsia" w:ascii="黑体" w:hAnsi="黑体" w:eastAsia="黑体" w:cs="黑体"/>
          <w:color w:val="auto"/>
          <w:spacing w:val="-4"/>
          <w:kern w:val="0"/>
          <w:sz w:val="32"/>
          <w:szCs w:val="32"/>
          <w:lang w:val="en-US" w:eastAsia="zh-CN"/>
        </w:rPr>
        <w:t>二、资产评估范围和要求</w:t>
      </w:r>
    </w:p>
    <w:p w14:paraId="0988BCAD">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一）</w:t>
      </w:r>
      <w:r>
        <w:rPr>
          <w:rFonts w:hint="eastAsia" w:ascii="仿宋_GB2312" w:hAnsi="仿宋_GB2312" w:eastAsia="仿宋_GB2312" w:cs="仿宋_GB2312"/>
          <w:color w:val="auto"/>
          <w:spacing w:val="-4"/>
          <w:sz w:val="32"/>
          <w:szCs w:val="32"/>
        </w:rPr>
        <w:t xml:space="preserve">企业有下列行为之一的，应当对所涉及的相关资产进行评估： </w:t>
      </w:r>
    </w:p>
    <w:p w14:paraId="43799615">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lang w:val="en-US" w:eastAsia="zh-CN"/>
        </w:rPr>
        <w:t>1.</w:t>
      </w:r>
      <w:r>
        <w:rPr>
          <w:rFonts w:hint="eastAsia" w:ascii="仿宋_GB2312" w:hAnsi="仿宋_GB2312" w:eastAsia="仿宋_GB2312" w:cs="仿宋_GB2312"/>
          <w:color w:val="auto"/>
          <w:spacing w:val="-4"/>
          <w:sz w:val="32"/>
          <w:szCs w:val="32"/>
          <w:highlight w:val="none"/>
        </w:rPr>
        <w:t>企业合并、分立、</w:t>
      </w:r>
      <w:r>
        <w:rPr>
          <w:rFonts w:hint="eastAsia" w:ascii="仿宋_GB2312" w:hAnsi="仿宋_GB2312" w:eastAsia="仿宋_GB2312" w:cs="仿宋_GB2312"/>
          <w:color w:val="auto"/>
          <w:spacing w:val="-4"/>
          <w:sz w:val="32"/>
          <w:szCs w:val="32"/>
          <w:highlight w:val="none"/>
          <w:lang w:eastAsia="zh-CN"/>
        </w:rPr>
        <w:t>破产、解散</w:t>
      </w:r>
      <w:r>
        <w:rPr>
          <w:rFonts w:hint="eastAsia" w:ascii="仿宋_GB2312" w:hAnsi="仿宋_GB2312" w:eastAsia="仿宋_GB2312" w:cs="仿宋_GB2312"/>
          <w:color w:val="auto"/>
          <w:spacing w:val="-4"/>
          <w:sz w:val="32"/>
          <w:szCs w:val="32"/>
          <w:highlight w:val="none"/>
        </w:rPr>
        <w:t xml:space="preserve">、改制； </w:t>
      </w:r>
    </w:p>
    <w:p w14:paraId="571FED60">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FF0000"/>
          <w:spacing w:val="-4"/>
          <w:sz w:val="32"/>
          <w:szCs w:val="32"/>
          <w:highlight w:val="none"/>
          <w:u w:val="single"/>
        </w:rPr>
      </w:pPr>
      <w:r>
        <w:rPr>
          <w:rFonts w:hint="eastAsia" w:ascii="仿宋_GB2312" w:hAnsi="仿宋_GB2312" w:eastAsia="仿宋_GB2312" w:cs="仿宋_GB2312"/>
          <w:color w:val="auto"/>
          <w:spacing w:val="-4"/>
          <w:sz w:val="32"/>
          <w:szCs w:val="32"/>
          <w:highlight w:val="none"/>
          <w:u w:val="none"/>
          <w:lang w:val="en-US" w:eastAsia="zh-CN"/>
        </w:rPr>
        <w:t>2.</w:t>
      </w:r>
      <w:r>
        <w:rPr>
          <w:rFonts w:hint="eastAsia" w:ascii="仿宋_GB2312" w:hAnsi="仿宋_GB2312" w:eastAsia="仿宋_GB2312" w:cs="仿宋_GB2312"/>
          <w:color w:val="auto"/>
          <w:spacing w:val="-4"/>
          <w:sz w:val="32"/>
          <w:szCs w:val="32"/>
          <w:highlight w:val="none"/>
          <w:u w:val="none"/>
        </w:rPr>
        <w:t>企业国有资产转让</w:t>
      </w:r>
      <w:r>
        <w:rPr>
          <w:rFonts w:hint="eastAsia" w:ascii="仿宋_GB2312" w:hAnsi="仿宋_GB2312" w:eastAsia="仿宋_GB2312" w:cs="仿宋_GB2312"/>
          <w:color w:val="auto"/>
          <w:spacing w:val="-4"/>
          <w:sz w:val="32"/>
          <w:szCs w:val="32"/>
          <w:highlight w:val="none"/>
          <w:u w:val="none"/>
          <w:lang w:eastAsia="zh-CN"/>
        </w:rPr>
        <w:t>、置换、租赁；</w:t>
      </w:r>
    </w:p>
    <w:p w14:paraId="7937B4A3">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3.</w:t>
      </w:r>
      <w:r>
        <w:rPr>
          <w:rFonts w:hint="eastAsia" w:ascii="仿宋_GB2312" w:hAnsi="仿宋_GB2312" w:eastAsia="仿宋_GB2312" w:cs="仿宋_GB2312"/>
          <w:color w:val="auto"/>
          <w:spacing w:val="-4"/>
          <w:sz w:val="32"/>
          <w:szCs w:val="32"/>
          <w:highlight w:val="none"/>
          <w:lang w:eastAsia="zh-CN"/>
        </w:rPr>
        <w:t>非上市公司</w:t>
      </w:r>
      <w:r>
        <w:rPr>
          <w:rFonts w:hint="eastAsia" w:ascii="仿宋_GB2312" w:hAnsi="仿宋_GB2312" w:eastAsia="仿宋_GB2312" w:cs="仿宋_GB2312"/>
          <w:color w:val="auto"/>
          <w:spacing w:val="-4"/>
          <w:sz w:val="32"/>
          <w:szCs w:val="32"/>
          <w:highlight w:val="none"/>
        </w:rPr>
        <w:t xml:space="preserve">国有股东股权比例变动； </w:t>
      </w:r>
    </w:p>
    <w:p w14:paraId="54A2FC7A">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val="en-US" w:eastAsia="zh-CN"/>
        </w:rPr>
        <w:t>4.</w:t>
      </w:r>
      <w:r>
        <w:rPr>
          <w:rFonts w:hint="eastAsia" w:ascii="仿宋_GB2312" w:hAnsi="仿宋_GB2312" w:eastAsia="仿宋_GB2312" w:cs="仿宋_GB2312"/>
          <w:color w:val="auto"/>
          <w:spacing w:val="-4"/>
          <w:sz w:val="32"/>
          <w:szCs w:val="32"/>
          <w:lang w:eastAsia="zh-CN"/>
        </w:rPr>
        <w:t>企业增资、减资</w:t>
      </w:r>
      <w:r>
        <w:rPr>
          <w:rFonts w:hint="eastAsia" w:ascii="仿宋_GB2312" w:hAnsi="仿宋_GB2312" w:eastAsia="仿宋_GB2312" w:cs="仿宋_GB2312"/>
          <w:sz w:val="32"/>
          <w:szCs w:val="32"/>
          <w:lang w:eastAsia="zh-CN"/>
        </w:rPr>
        <w:t>；</w:t>
      </w:r>
    </w:p>
    <w:p w14:paraId="1418DE6E">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5.</w:t>
      </w:r>
      <w:r>
        <w:rPr>
          <w:rFonts w:hint="eastAsia" w:ascii="仿宋_GB2312" w:hAnsi="仿宋_GB2312" w:eastAsia="仿宋_GB2312" w:cs="仿宋_GB2312"/>
          <w:color w:val="auto"/>
          <w:spacing w:val="-4"/>
          <w:sz w:val="32"/>
          <w:szCs w:val="32"/>
          <w:highlight w:val="none"/>
        </w:rPr>
        <w:t>以非货币</w:t>
      </w:r>
      <w:r>
        <w:rPr>
          <w:rFonts w:hint="eastAsia" w:ascii="仿宋_GB2312" w:hAnsi="仿宋_GB2312" w:eastAsia="仿宋_GB2312" w:cs="仿宋_GB2312"/>
          <w:color w:val="auto"/>
          <w:spacing w:val="-4"/>
          <w:sz w:val="32"/>
          <w:szCs w:val="32"/>
          <w:highlight w:val="none"/>
          <w:lang w:eastAsia="zh-CN"/>
        </w:rPr>
        <w:t>资产</w:t>
      </w:r>
      <w:r>
        <w:rPr>
          <w:rFonts w:hint="eastAsia" w:ascii="仿宋_GB2312" w:hAnsi="仿宋_GB2312" w:eastAsia="仿宋_GB2312" w:cs="仿宋_GB2312"/>
          <w:color w:val="auto"/>
          <w:spacing w:val="-4"/>
          <w:sz w:val="32"/>
          <w:szCs w:val="32"/>
          <w:highlight w:val="none"/>
        </w:rPr>
        <w:t xml:space="preserve">对外投资或者偿还债务； </w:t>
      </w:r>
    </w:p>
    <w:p w14:paraId="22AFC03C">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6.</w:t>
      </w:r>
      <w:r>
        <w:rPr>
          <w:rFonts w:hint="eastAsia" w:ascii="仿宋_GB2312" w:hAnsi="仿宋_GB2312" w:eastAsia="仿宋_GB2312" w:cs="仿宋_GB2312"/>
          <w:color w:val="auto"/>
          <w:spacing w:val="-4"/>
          <w:sz w:val="32"/>
          <w:szCs w:val="32"/>
          <w:highlight w:val="none"/>
        </w:rPr>
        <w:t>接受其他单位以非货币</w:t>
      </w:r>
      <w:r>
        <w:rPr>
          <w:rFonts w:hint="eastAsia" w:ascii="仿宋_GB2312" w:hAnsi="仿宋_GB2312" w:eastAsia="仿宋_GB2312" w:cs="仿宋_GB2312"/>
          <w:color w:val="auto"/>
          <w:spacing w:val="-4"/>
          <w:sz w:val="32"/>
          <w:szCs w:val="32"/>
          <w:highlight w:val="none"/>
          <w:lang w:eastAsia="zh-CN"/>
        </w:rPr>
        <w:t>资产</w:t>
      </w:r>
      <w:r>
        <w:rPr>
          <w:rFonts w:hint="eastAsia" w:ascii="仿宋_GB2312" w:hAnsi="仿宋_GB2312" w:eastAsia="仿宋_GB2312" w:cs="仿宋_GB2312"/>
          <w:color w:val="auto"/>
          <w:spacing w:val="-4"/>
          <w:sz w:val="32"/>
          <w:szCs w:val="32"/>
          <w:highlight w:val="none"/>
        </w:rPr>
        <w:t xml:space="preserve">出资或者抵债； </w:t>
      </w:r>
    </w:p>
    <w:p w14:paraId="0664E1DE">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val="en-US" w:eastAsia="zh-CN"/>
        </w:rPr>
        <w:t>7.</w:t>
      </w:r>
      <w:r>
        <w:rPr>
          <w:rFonts w:hint="eastAsia" w:ascii="仿宋_GB2312" w:hAnsi="仿宋_GB2312" w:eastAsia="仿宋_GB2312" w:cs="仿宋_GB2312"/>
          <w:color w:val="auto"/>
          <w:spacing w:val="-4"/>
          <w:sz w:val="32"/>
          <w:szCs w:val="32"/>
          <w:highlight w:val="none"/>
        </w:rPr>
        <w:t>收购其他单位的资产</w:t>
      </w:r>
      <w:r>
        <w:rPr>
          <w:rFonts w:hint="eastAsia" w:ascii="仿宋_GB2312" w:hAnsi="仿宋_GB2312" w:eastAsia="仿宋_GB2312" w:cs="仿宋_GB2312"/>
          <w:color w:val="auto"/>
          <w:spacing w:val="-4"/>
          <w:sz w:val="32"/>
          <w:szCs w:val="32"/>
          <w:highlight w:val="none"/>
          <w:lang w:eastAsia="zh-CN"/>
        </w:rPr>
        <w:t>；</w:t>
      </w:r>
    </w:p>
    <w:p w14:paraId="7F84AC07">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lang w:val="en-US" w:eastAsia="zh-CN"/>
        </w:rPr>
        <w:t>8.</w:t>
      </w:r>
      <w:r>
        <w:rPr>
          <w:rFonts w:hint="eastAsia" w:ascii="仿宋_GB2312" w:hAnsi="仿宋_GB2312" w:eastAsia="仿宋_GB2312" w:cs="仿宋_GB2312"/>
          <w:color w:val="auto"/>
          <w:spacing w:val="-4"/>
          <w:sz w:val="32"/>
          <w:szCs w:val="32"/>
          <w:highlight w:val="none"/>
          <w:lang w:eastAsia="zh-CN"/>
        </w:rPr>
        <w:t>对其他企业增资</w:t>
      </w:r>
      <w:r>
        <w:rPr>
          <w:rFonts w:hint="eastAsia" w:ascii="仿宋_GB2312" w:hAnsi="仿宋_GB2312" w:eastAsia="仿宋_GB2312" w:cs="仿宋_GB2312"/>
          <w:color w:val="auto"/>
          <w:spacing w:val="-4"/>
          <w:sz w:val="32"/>
          <w:szCs w:val="32"/>
          <w:highlight w:val="none"/>
        </w:rPr>
        <w:t xml:space="preserve">； </w:t>
      </w:r>
    </w:p>
    <w:p w14:paraId="1F734092">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pacing w:val="-4"/>
          <w:sz w:val="32"/>
          <w:szCs w:val="32"/>
          <w:highlight w:val="none"/>
          <w:lang w:val="en-US" w:eastAsia="zh-CN"/>
        </w:rPr>
        <w:t>9.涉诉资产处置；</w:t>
      </w:r>
    </w:p>
    <w:p w14:paraId="769D6251">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10.</w:t>
      </w:r>
      <w:r>
        <w:rPr>
          <w:rFonts w:hint="eastAsia" w:ascii="仿宋_GB2312" w:hAnsi="仿宋_GB2312" w:eastAsia="仿宋_GB2312" w:cs="仿宋_GB2312"/>
          <w:color w:val="auto"/>
          <w:spacing w:val="-4"/>
          <w:sz w:val="32"/>
          <w:szCs w:val="32"/>
        </w:rPr>
        <w:t>国家、省、市</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区</w:t>
      </w:r>
      <w:r>
        <w:rPr>
          <w:rFonts w:hint="eastAsia" w:ascii="仿宋_GB2312" w:hAnsi="仿宋_GB2312" w:eastAsia="仿宋_GB2312" w:cs="仿宋_GB2312"/>
          <w:color w:val="auto"/>
          <w:spacing w:val="-4"/>
          <w:sz w:val="32"/>
          <w:szCs w:val="32"/>
        </w:rPr>
        <w:t>和企业章程规定应当进行资产评估的其他情形。</w:t>
      </w:r>
    </w:p>
    <w:p w14:paraId="1ED43AF7">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二）</w:t>
      </w:r>
      <w:r>
        <w:rPr>
          <w:rFonts w:hint="eastAsia" w:ascii="仿宋_GB2312" w:hAnsi="仿宋_GB2312" w:eastAsia="仿宋_GB2312" w:cs="仿宋_GB2312"/>
          <w:color w:val="auto"/>
          <w:spacing w:val="-4"/>
          <w:sz w:val="32"/>
          <w:szCs w:val="32"/>
        </w:rPr>
        <w:t>企业有下列行为之一的，可以不进行资产评估：</w:t>
      </w:r>
    </w:p>
    <w:p w14:paraId="68B51ED7">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val="en-US" w:eastAsia="zh-CN"/>
        </w:rPr>
        <w:t>1.</w:t>
      </w:r>
      <w:r>
        <w:rPr>
          <w:rFonts w:hint="eastAsia" w:ascii="仿宋_GB2312" w:hAnsi="仿宋_GB2312" w:eastAsia="仿宋_GB2312" w:cs="仿宋_GB2312"/>
          <w:color w:val="auto"/>
          <w:spacing w:val="-4"/>
          <w:sz w:val="32"/>
          <w:szCs w:val="32"/>
        </w:rPr>
        <w:t>经</w:t>
      </w:r>
      <w:r>
        <w:rPr>
          <w:rFonts w:hint="eastAsia" w:ascii="仿宋_GB2312" w:hAnsi="仿宋_GB2312" w:eastAsia="仿宋_GB2312" w:cs="仿宋_GB2312"/>
          <w:color w:val="auto"/>
          <w:spacing w:val="-4"/>
          <w:sz w:val="32"/>
          <w:szCs w:val="32"/>
          <w:lang w:eastAsia="zh-CN"/>
        </w:rPr>
        <w:t>区政府批准的</w:t>
      </w:r>
      <w:r>
        <w:rPr>
          <w:rFonts w:hint="eastAsia" w:ascii="仿宋_GB2312" w:hAnsi="仿宋_GB2312" w:eastAsia="仿宋_GB2312" w:cs="仿宋_GB2312"/>
          <w:color w:val="auto"/>
          <w:spacing w:val="-4"/>
          <w:sz w:val="32"/>
          <w:szCs w:val="32"/>
        </w:rPr>
        <w:t>对企业整体或部分产权、资产实施无偿划转</w:t>
      </w:r>
      <w:r>
        <w:rPr>
          <w:rFonts w:hint="eastAsia" w:ascii="仿宋_GB2312" w:hAnsi="仿宋_GB2312" w:eastAsia="仿宋_GB2312" w:cs="仿宋_GB2312"/>
          <w:color w:val="auto"/>
          <w:spacing w:val="-4"/>
          <w:sz w:val="32"/>
          <w:szCs w:val="32"/>
          <w:lang w:eastAsia="zh-CN"/>
        </w:rPr>
        <w:t>；</w:t>
      </w:r>
    </w:p>
    <w:p w14:paraId="02C9128D">
      <w:pPr>
        <w:pStyle w:val="14"/>
        <w:keepNext w:val="0"/>
        <w:keepLines w:val="0"/>
        <w:pageBreakBefore w:val="0"/>
        <w:widowControl w:val="0"/>
        <w:kinsoku/>
        <w:wordWrap/>
        <w:topLinePunct w:val="0"/>
        <w:bidi w:val="0"/>
        <w:adjustRightInd w:val="0"/>
        <w:snapToGrid w:val="0"/>
        <w:spacing w:line="560" w:lineRule="exact"/>
        <w:ind w:left="0" w:leftChars="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2.事业单位、国有独资企业之间实施合并、分立以及其他经济行为的；</w:t>
      </w:r>
    </w:p>
    <w:p w14:paraId="270822EC">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3.</w:t>
      </w:r>
      <w:r>
        <w:rPr>
          <w:rFonts w:hint="eastAsia" w:ascii="仿宋_GB2312" w:hAnsi="仿宋_GB2312" w:eastAsia="仿宋_GB2312" w:cs="仿宋_GB2312"/>
          <w:color w:val="auto"/>
          <w:spacing w:val="-4"/>
          <w:sz w:val="32"/>
          <w:szCs w:val="32"/>
        </w:rPr>
        <w:t>同一国资监管机构所属企业之间、国有独资企业（公司）与其所属独资企业（事业单位）之间或其所属独资企业（事业单位）之间的合并、资产置换</w:t>
      </w:r>
      <w:r>
        <w:rPr>
          <w:rFonts w:hint="eastAsia" w:ascii="仿宋_GB2312" w:hAnsi="仿宋_GB2312" w:eastAsia="仿宋_GB2312" w:cs="仿宋_GB2312"/>
          <w:color w:val="auto"/>
          <w:spacing w:val="-4"/>
          <w:sz w:val="32"/>
          <w:szCs w:val="32"/>
          <w:lang w:eastAsia="zh-CN"/>
        </w:rPr>
        <w:t>；</w:t>
      </w:r>
    </w:p>
    <w:p w14:paraId="147C8F8A">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strike w:val="0"/>
          <w:dstrike w:val="0"/>
          <w:color w:val="auto"/>
          <w:spacing w:val="-4"/>
          <w:sz w:val="32"/>
          <w:szCs w:val="32"/>
          <w:u w:val="none"/>
          <w:lang w:eastAsia="zh-CN"/>
        </w:rPr>
      </w:pPr>
      <w:r>
        <w:rPr>
          <w:rFonts w:hint="eastAsia" w:ascii="仿宋_GB2312" w:hAnsi="仿宋_GB2312" w:eastAsia="仿宋_GB2312" w:cs="仿宋_GB2312"/>
          <w:color w:val="auto"/>
          <w:spacing w:val="-4"/>
          <w:sz w:val="32"/>
          <w:szCs w:val="32"/>
          <w:lang w:val="en-US" w:eastAsia="zh-CN"/>
        </w:rPr>
        <w:t>4.</w:t>
      </w:r>
      <w:r>
        <w:rPr>
          <w:rFonts w:hint="eastAsia" w:ascii="仿宋_GB2312" w:hAnsi="仿宋_GB2312" w:eastAsia="仿宋_GB2312" w:cs="仿宋_GB2312"/>
          <w:strike w:val="0"/>
          <w:dstrike w:val="0"/>
          <w:color w:val="auto"/>
          <w:spacing w:val="-4"/>
          <w:sz w:val="32"/>
          <w:szCs w:val="32"/>
          <w:u w:val="none"/>
          <w:lang w:eastAsia="zh-CN"/>
        </w:rPr>
        <w:t>国有独资、国有全资企业及行政事业单位之间进行交易；</w:t>
      </w:r>
    </w:p>
    <w:p w14:paraId="3F785463">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5.</w:t>
      </w:r>
      <w:r>
        <w:rPr>
          <w:rFonts w:hint="eastAsia" w:ascii="仿宋_GB2312" w:hAnsi="仿宋_GB2312" w:eastAsia="仿宋_GB2312" w:cs="仿宋_GB2312"/>
          <w:color w:val="auto"/>
          <w:spacing w:val="-4"/>
          <w:sz w:val="32"/>
          <w:szCs w:val="32"/>
        </w:rPr>
        <w:t>国有控股的企业与其直接、间接全资拥有的子企业，或其直接、间接全资拥有的子企业之间转让所持</w:t>
      </w:r>
      <w:r>
        <w:rPr>
          <w:rFonts w:hint="eastAsia" w:ascii="仿宋_GB2312" w:hAnsi="仿宋_GB2312" w:eastAsia="仿宋_GB2312" w:cs="仿宋_GB2312"/>
          <w:color w:val="auto"/>
          <w:spacing w:val="-4"/>
          <w:sz w:val="32"/>
          <w:szCs w:val="32"/>
          <w:lang w:eastAsia="zh-CN"/>
        </w:rPr>
        <w:t>资产（</w:t>
      </w:r>
      <w:r>
        <w:rPr>
          <w:rFonts w:hint="eastAsia" w:ascii="仿宋_GB2312" w:hAnsi="仿宋_GB2312" w:eastAsia="仿宋_GB2312" w:cs="仿宋_GB2312"/>
          <w:color w:val="auto"/>
          <w:spacing w:val="-4"/>
          <w:sz w:val="32"/>
          <w:szCs w:val="32"/>
        </w:rPr>
        <w:t>股权</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，按规定审批后，可依据评估报告或一年内最近一期审计报告确认的净资产值为基准确定转让价格</w:t>
      </w:r>
      <w:r>
        <w:rPr>
          <w:rFonts w:hint="eastAsia" w:ascii="仿宋_GB2312" w:hAnsi="仿宋_GB2312" w:eastAsia="仿宋_GB2312" w:cs="仿宋_GB2312"/>
          <w:color w:val="auto"/>
          <w:spacing w:val="-4"/>
          <w:sz w:val="32"/>
          <w:szCs w:val="32"/>
          <w:lang w:val="en-US" w:eastAsia="zh-CN"/>
        </w:rPr>
        <w:t>;</w:t>
      </w:r>
    </w:p>
    <w:p w14:paraId="66A5663A">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6.</w:t>
      </w:r>
      <w:r>
        <w:rPr>
          <w:rFonts w:hint="eastAsia" w:ascii="仿宋_GB2312" w:hAnsi="仿宋_GB2312" w:eastAsia="仿宋_GB2312" w:cs="仿宋_GB2312"/>
          <w:color w:val="auto"/>
          <w:spacing w:val="-4"/>
          <w:sz w:val="32"/>
          <w:szCs w:val="32"/>
        </w:rPr>
        <w:t>国有全资企业发生原股东增资、减资，经全体股东同意，可依据评估报告或一年内最近一期审计报告确认的净资产值为基准确定股权比例</w:t>
      </w:r>
      <w:r>
        <w:rPr>
          <w:rFonts w:hint="eastAsia" w:ascii="仿宋_GB2312" w:hAnsi="仿宋_GB2312" w:eastAsia="仿宋_GB2312" w:cs="仿宋_GB2312"/>
          <w:color w:val="auto"/>
          <w:spacing w:val="-4"/>
          <w:sz w:val="32"/>
          <w:szCs w:val="32"/>
          <w:lang w:val="en-US" w:eastAsia="zh-CN"/>
        </w:rPr>
        <w:t>;</w:t>
      </w:r>
    </w:p>
    <w:p w14:paraId="73D1A004">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u w:val="single"/>
          <w:lang w:val="en-US" w:eastAsia="zh-CN"/>
        </w:rPr>
      </w:pPr>
      <w:r>
        <w:rPr>
          <w:rFonts w:hint="eastAsia" w:ascii="仿宋_GB2312" w:hAnsi="仿宋_GB2312" w:eastAsia="仿宋_GB2312" w:cs="仿宋_GB2312"/>
          <w:color w:val="auto"/>
          <w:spacing w:val="-4"/>
          <w:sz w:val="32"/>
          <w:szCs w:val="32"/>
          <w:lang w:val="en-US" w:eastAsia="zh-CN"/>
        </w:rPr>
        <w:t>7.企业原股东同比例增资</w:t>
      </w:r>
      <w:r>
        <w:rPr>
          <w:rFonts w:hint="eastAsia" w:ascii="仿宋_GB2312" w:hAnsi="仿宋_GB2312" w:eastAsia="仿宋_GB2312" w:cs="仿宋_GB2312"/>
          <w:color w:val="auto"/>
          <w:spacing w:val="-4"/>
          <w:sz w:val="32"/>
          <w:szCs w:val="32"/>
          <w:u w:val="none"/>
          <w:lang w:val="en-US" w:eastAsia="zh-CN"/>
        </w:rPr>
        <w:t>、减资</w:t>
      </w:r>
      <w:r>
        <w:rPr>
          <w:rFonts w:hint="eastAsia" w:ascii="仿宋_GB2312" w:hAnsi="仿宋_GB2312" w:eastAsia="仿宋_GB2312" w:cs="仿宋_GB2312"/>
          <w:color w:val="auto"/>
          <w:spacing w:val="-4"/>
          <w:sz w:val="32"/>
          <w:szCs w:val="32"/>
          <w:lang w:val="en-US" w:eastAsia="zh-CN"/>
        </w:rPr>
        <w:t>；</w:t>
      </w:r>
      <w:r>
        <w:rPr>
          <w:rFonts w:hint="eastAsia" w:ascii="仿宋_GB2312" w:hAnsi="仿宋_GB2312" w:eastAsia="仿宋_GB2312" w:cs="仿宋_GB2312"/>
          <w:strike w:val="0"/>
          <w:dstrike w:val="0"/>
          <w:color w:val="auto"/>
          <w:spacing w:val="-4"/>
          <w:sz w:val="32"/>
          <w:szCs w:val="32"/>
          <w:u w:val="none"/>
          <w:lang w:val="en-US" w:eastAsia="zh-CN"/>
        </w:rPr>
        <w:t>履行出资人职责的机构对国家独资、全资出资企业增资、减资；</w:t>
      </w:r>
      <w:r>
        <w:rPr>
          <w:rFonts w:hint="eastAsia" w:ascii="仿宋_GB2312" w:hAnsi="仿宋_GB2312" w:eastAsia="仿宋_GB2312" w:cs="仿宋_GB2312"/>
          <w:color w:val="auto"/>
          <w:spacing w:val="-4"/>
          <w:sz w:val="32"/>
          <w:szCs w:val="32"/>
          <w:u w:val="none"/>
          <w:lang w:val="en-US" w:eastAsia="zh-CN"/>
        </w:rPr>
        <w:t>国有控股或国有实际控制企业对其独资子企业增资；</w:t>
      </w:r>
      <w:r>
        <w:rPr>
          <w:rFonts w:hint="eastAsia" w:ascii="仿宋_GB2312" w:hAnsi="仿宋_GB2312" w:eastAsia="仿宋_GB2312" w:cs="仿宋_GB2312"/>
          <w:color w:val="auto"/>
          <w:spacing w:val="-4"/>
          <w:sz w:val="32"/>
          <w:szCs w:val="32"/>
          <w:lang w:val="en-US" w:eastAsia="zh-CN"/>
        </w:rPr>
        <w:t>增资企业和投资方均为国有独资或国有全资企业的，可以依据评估报告或最近一期审计报告确定企业资本及股权比例;</w:t>
      </w:r>
    </w:p>
    <w:p w14:paraId="55EE032D">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u w:val="none"/>
          <w:lang w:val="en-US" w:eastAsia="zh-CN"/>
        </w:rPr>
      </w:pPr>
      <w:r>
        <w:rPr>
          <w:rFonts w:hint="eastAsia" w:ascii="仿宋_GB2312" w:hAnsi="仿宋_GB2312" w:eastAsia="仿宋_GB2312" w:cs="仿宋_GB2312"/>
          <w:color w:val="auto"/>
          <w:spacing w:val="-4"/>
          <w:sz w:val="32"/>
          <w:szCs w:val="32"/>
          <w:u w:val="none"/>
          <w:lang w:val="en-US" w:eastAsia="zh-CN"/>
        </w:rPr>
        <w:t>8.</w:t>
      </w:r>
      <w:r>
        <w:rPr>
          <w:rFonts w:hint="eastAsia" w:ascii="仿宋_GB2312" w:hAnsi="仿宋_GB2312" w:eastAsia="仿宋_GB2312" w:cs="仿宋_GB2312"/>
          <w:color w:val="auto"/>
          <w:sz w:val="32"/>
          <w:szCs w:val="32"/>
          <w:u w:val="none"/>
        </w:rPr>
        <w:t>有限责任公司整体变更为股份有限公司或者股份有限公司变更为有限责任公司，股东及其持股比例不变</w:t>
      </w:r>
      <w:r>
        <w:rPr>
          <w:rFonts w:hint="eastAsia" w:ascii="仿宋_GB2312" w:hAnsi="仿宋_GB2312" w:eastAsia="仿宋_GB2312" w:cs="仿宋_GB2312"/>
          <w:color w:val="auto"/>
          <w:spacing w:val="-4"/>
          <w:sz w:val="32"/>
          <w:szCs w:val="32"/>
          <w:u w:val="none"/>
          <w:lang w:val="en-US" w:eastAsia="zh-CN"/>
        </w:rPr>
        <w:t>;</w:t>
      </w:r>
    </w:p>
    <w:p w14:paraId="67783FE2">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9.采取非公开协议方式转让企业资产（产权），转让方、受让方均为国有独资或全资企业的，转让价格可以以资产评估报告或最近一期审计报告确认的净资产值为基础确定;</w:t>
      </w:r>
    </w:p>
    <w:p w14:paraId="365DDC3C">
      <w:pPr>
        <w:keepNext w:val="0"/>
        <w:keepLines w:val="0"/>
        <w:pageBreakBefore w:val="0"/>
        <w:widowControl w:val="0"/>
        <w:kinsoku/>
        <w:wordWrap/>
        <w:overflowPunct/>
        <w:topLinePunct w:val="0"/>
        <w:autoSpaceDE/>
        <w:autoSpaceDN/>
        <w:bidi w:val="0"/>
        <w:adjustRightInd/>
        <w:snapToGrid/>
        <w:spacing w:line="560" w:lineRule="exact"/>
        <w:ind w:leftChars="0" w:firstLine="624" w:firstLineChars="200"/>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auto"/>
          <w:spacing w:val="-4"/>
          <w:kern w:val="0"/>
          <w:sz w:val="32"/>
          <w:szCs w:val="32"/>
          <w:u w:val="none"/>
          <w:lang w:val="en-US" w:eastAsia="zh-CN" w:bidi="ar-SA"/>
        </w:rPr>
        <w:t>10.</w:t>
      </w:r>
      <w:r>
        <w:rPr>
          <w:rFonts w:hint="eastAsia" w:ascii="仿宋_GB2312" w:hAnsi="仿宋_GB2312" w:eastAsia="仿宋_GB2312" w:cs="仿宋_GB2312"/>
          <w:color w:val="auto"/>
          <w:sz w:val="32"/>
          <w:szCs w:val="32"/>
          <w:u w:val="none"/>
        </w:rPr>
        <w:t>拟通过公开挂牌方式转让无法获取标的企业资料的参股股权以及账面原值低于</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00万元(含)的存货、固定资产等，</w:t>
      </w:r>
      <w:r>
        <w:rPr>
          <w:rFonts w:hint="eastAsia" w:ascii="仿宋_GB2312" w:hAnsi="仿宋_GB2312" w:eastAsia="仿宋_GB2312" w:cs="仿宋_GB2312"/>
          <w:b w:val="0"/>
          <w:bCs w:val="0"/>
          <w:color w:val="auto"/>
          <w:sz w:val="32"/>
          <w:szCs w:val="32"/>
          <w:u w:val="none"/>
        </w:rPr>
        <w:t>或出售、租赁能够获取公开市场价格的房产</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营业执照载明出租资产作为经营范围的各类专业市场、商场</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p>
    <w:p w14:paraId="2A1C5AD5">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val="en-US" w:eastAsia="zh-CN"/>
        </w:rPr>
        <w:t>11.</w:t>
      </w:r>
      <w:r>
        <w:rPr>
          <w:rFonts w:hint="eastAsia" w:ascii="仿宋_GB2312" w:hAnsi="仿宋_GB2312" w:eastAsia="仿宋_GB2312" w:cs="仿宋_GB2312"/>
          <w:color w:val="auto"/>
          <w:spacing w:val="-4"/>
          <w:sz w:val="32"/>
          <w:szCs w:val="32"/>
          <w:lang w:eastAsia="zh-CN"/>
        </w:rPr>
        <w:t>政府以收储补偿标准为主进行土地收储，并鼓励企业争取合理补偿</w:t>
      </w:r>
      <w:r>
        <w:rPr>
          <w:rFonts w:hint="eastAsia" w:ascii="仿宋_GB2312" w:hAnsi="仿宋_GB2312" w:eastAsia="仿宋_GB2312" w:cs="仿宋_GB2312"/>
          <w:color w:val="auto"/>
          <w:spacing w:val="-4"/>
          <w:sz w:val="32"/>
          <w:szCs w:val="32"/>
          <w:lang w:val="en-US" w:eastAsia="zh-CN"/>
        </w:rPr>
        <w:t>;</w:t>
      </w:r>
    </w:p>
    <w:p w14:paraId="6E982B26">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kern w:val="0"/>
          <w:sz w:val="32"/>
          <w:szCs w:val="32"/>
          <w:u w:val="none"/>
          <w:lang w:val="en-US" w:eastAsia="zh-CN"/>
        </w:rPr>
      </w:pPr>
      <w:r>
        <w:rPr>
          <w:rFonts w:hint="eastAsia" w:ascii="仿宋_GB2312" w:hAnsi="仿宋_GB2312" w:eastAsia="仿宋_GB2312" w:cs="仿宋_GB2312"/>
          <w:color w:val="auto"/>
          <w:spacing w:val="-4"/>
          <w:kern w:val="0"/>
          <w:sz w:val="32"/>
          <w:szCs w:val="32"/>
          <w:lang w:val="en-US" w:eastAsia="zh-CN"/>
        </w:rPr>
        <w:t>12.</w:t>
      </w:r>
      <w:r>
        <w:rPr>
          <w:rFonts w:hint="eastAsia" w:ascii="仿宋_GB2312" w:hAnsi="仿宋_GB2312" w:eastAsia="仿宋_GB2312" w:cs="仿宋_GB2312"/>
          <w:color w:val="auto"/>
          <w:spacing w:val="-4"/>
          <w:kern w:val="0"/>
          <w:sz w:val="32"/>
          <w:szCs w:val="32"/>
          <w:u w:val="none"/>
          <w:lang w:val="en-US" w:eastAsia="zh-CN"/>
        </w:rPr>
        <w:t>解散注销未发生债务或已将债务清偿且不涉及非货币资产在不同股东之间分配的企业，或资产、负债由原股东承继的一人有限责任公司;</w:t>
      </w:r>
    </w:p>
    <w:p w14:paraId="30406262">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val="en-US" w:eastAsia="zh-CN"/>
        </w:rPr>
        <w:t>13.</w:t>
      </w:r>
      <w:r>
        <w:rPr>
          <w:rFonts w:hint="eastAsia" w:ascii="仿宋_GB2312" w:hAnsi="仿宋_GB2312" w:eastAsia="仿宋_GB2312" w:cs="仿宋_GB2312"/>
          <w:color w:val="auto"/>
          <w:spacing w:val="-4"/>
          <w:sz w:val="32"/>
          <w:szCs w:val="32"/>
          <w:lang w:eastAsia="zh-CN"/>
        </w:rPr>
        <w:t>经</w:t>
      </w:r>
      <w:r>
        <w:rPr>
          <w:rFonts w:hint="eastAsia" w:ascii="仿宋_GB2312" w:hAnsi="仿宋_GB2312" w:eastAsia="仿宋_GB2312" w:cs="仿宋_GB2312"/>
          <w:color w:val="auto"/>
          <w:spacing w:val="-4"/>
          <w:sz w:val="32"/>
          <w:szCs w:val="32"/>
          <w:lang w:val="en-US" w:eastAsia="zh-CN"/>
        </w:rPr>
        <w:t>区</w:t>
      </w:r>
      <w:r>
        <w:rPr>
          <w:rFonts w:hint="eastAsia" w:ascii="仿宋_GB2312" w:hAnsi="仿宋_GB2312" w:eastAsia="仿宋_GB2312" w:cs="仿宋_GB2312"/>
          <w:color w:val="auto"/>
          <w:spacing w:val="-4"/>
          <w:sz w:val="32"/>
          <w:szCs w:val="32"/>
          <w:lang w:eastAsia="zh-CN"/>
        </w:rPr>
        <w:t>政府、</w:t>
      </w:r>
      <w:r>
        <w:rPr>
          <w:rFonts w:hint="eastAsia" w:ascii="仿宋_GB2312" w:hAnsi="仿宋_GB2312" w:eastAsia="仿宋_GB2312" w:cs="仿宋_GB2312"/>
          <w:color w:val="auto"/>
          <w:spacing w:val="-4"/>
          <w:sz w:val="32"/>
          <w:szCs w:val="32"/>
          <w:lang w:val="en-US" w:eastAsia="zh-CN"/>
        </w:rPr>
        <w:t>区国资办</w:t>
      </w:r>
      <w:r>
        <w:rPr>
          <w:rFonts w:hint="eastAsia" w:ascii="仿宋_GB2312" w:hAnsi="仿宋_GB2312" w:eastAsia="仿宋_GB2312" w:cs="仿宋_GB2312"/>
          <w:color w:val="auto"/>
          <w:spacing w:val="-4"/>
          <w:sz w:val="32"/>
          <w:szCs w:val="32"/>
          <w:lang w:eastAsia="zh-CN"/>
        </w:rPr>
        <w:t>批准不需评估的事项。</w:t>
      </w:r>
    </w:p>
    <w:p w14:paraId="17B640CC">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三）</w:t>
      </w:r>
      <w:r>
        <w:rPr>
          <w:rFonts w:hint="eastAsia" w:ascii="仿宋_GB2312" w:hAnsi="仿宋_GB2312" w:eastAsia="仿宋_GB2312" w:cs="仿宋_GB2312"/>
          <w:color w:val="auto"/>
          <w:sz w:val="32"/>
          <w:szCs w:val="32"/>
          <w:u w:val="none"/>
        </w:rPr>
        <w:t>企业及</w:t>
      </w:r>
      <w:r>
        <w:rPr>
          <w:rFonts w:hint="eastAsia" w:ascii="仿宋_GB2312" w:hAnsi="仿宋_GB2312" w:eastAsia="仿宋_GB2312" w:cs="仿宋_GB2312"/>
          <w:color w:val="auto"/>
          <w:sz w:val="32"/>
          <w:szCs w:val="32"/>
          <w:u w:val="none"/>
          <w:lang w:eastAsia="zh-CN"/>
        </w:rPr>
        <w:t>其所属企业</w:t>
      </w:r>
      <w:r>
        <w:rPr>
          <w:rFonts w:hint="eastAsia" w:ascii="仿宋_GB2312" w:hAnsi="仿宋_GB2312" w:eastAsia="仿宋_GB2312" w:cs="仿宋_GB2312"/>
          <w:color w:val="auto"/>
          <w:sz w:val="32"/>
          <w:szCs w:val="32"/>
          <w:u w:val="none"/>
        </w:rPr>
        <w:t>发生以下经济行为时，依照相关法律和企业章程履行决策程序后，可以聘请专业机构对相关标的进行估值：</w:t>
      </w:r>
    </w:p>
    <w:p w14:paraId="51102393">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标的为境外企业或资产的交易；</w:t>
      </w:r>
    </w:p>
    <w:p w14:paraId="001B8BEC">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并购上市公司；</w:t>
      </w:r>
    </w:p>
    <w:p w14:paraId="5C3C32EC">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标的为原创性技术、前沿性技术、涉密技术、“卡脖子”关键核心技术、战略性新兴产业企业，以及主要任务为研发首台(套)装备、首批次材料、首版次软件等产品且尚未形成稳定销售收入的企业的交易；</w:t>
      </w:r>
    </w:p>
    <w:p w14:paraId="324DEDAF">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企业管理基金按照市场惯例对外投资或转让所持股权；</w:t>
      </w:r>
    </w:p>
    <w:p w14:paraId="124C7271">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标的为有限合伙企业份额的交易。</w:t>
      </w:r>
    </w:p>
    <w:p w14:paraId="11BA1768">
      <w:pPr>
        <w:keepNext w:val="0"/>
        <w:keepLines w:val="0"/>
        <w:pageBreakBefore w:val="0"/>
        <w:widowControl w:val="0"/>
        <w:kinsoku/>
        <w:wordWrap/>
        <w:overflowPunct/>
        <w:topLinePunct w:val="0"/>
        <w:autoSpaceDE w:val="0"/>
        <w:autoSpaceDN w:val="0"/>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pacing w:val="-4"/>
          <w:sz w:val="32"/>
          <w:szCs w:val="32"/>
          <w:u w:val="none"/>
        </w:rPr>
      </w:pPr>
      <w:r>
        <w:rPr>
          <w:rFonts w:hint="eastAsia" w:ascii="仿宋_GB2312" w:hAnsi="仿宋_GB2312" w:eastAsia="仿宋_GB2312" w:cs="仿宋_GB2312"/>
          <w:color w:val="auto"/>
          <w:sz w:val="32"/>
          <w:szCs w:val="32"/>
          <w:u w:val="none"/>
        </w:rPr>
        <w:t>上述第一种情形</w:t>
      </w:r>
      <w:r>
        <w:rPr>
          <w:rFonts w:hint="eastAsia" w:ascii="仿宋_GB2312" w:hAnsi="仿宋_GB2312" w:eastAsia="仿宋_GB2312" w:cs="仿宋_GB2312"/>
          <w:color w:val="auto"/>
          <w:sz w:val="32"/>
          <w:szCs w:val="32"/>
          <w:u w:val="none"/>
          <w:lang w:eastAsia="zh-CN"/>
        </w:rPr>
        <w:t>应当</w:t>
      </w:r>
      <w:r>
        <w:rPr>
          <w:rFonts w:hint="eastAsia" w:ascii="仿宋_GB2312" w:hAnsi="仿宋_GB2312" w:eastAsia="仿宋_GB2312" w:cs="仿宋_GB2312"/>
          <w:color w:val="auto"/>
          <w:spacing w:val="-4"/>
          <w:kern w:val="0"/>
          <w:sz w:val="32"/>
          <w:szCs w:val="32"/>
          <w:u w:val="none"/>
          <w:lang w:eastAsia="zh-CN"/>
        </w:rPr>
        <w:t>由</w:t>
      </w:r>
      <w:r>
        <w:rPr>
          <w:rFonts w:hint="eastAsia" w:ascii="仿宋_GB2312" w:hAnsi="仿宋_GB2312" w:eastAsia="仿宋_GB2312" w:cs="仿宋_GB2312"/>
          <w:color w:val="auto"/>
          <w:spacing w:val="-4"/>
          <w:kern w:val="0"/>
          <w:sz w:val="32"/>
          <w:szCs w:val="32"/>
          <w:u w:val="none"/>
          <w:lang w:val="en-US" w:eastAsia="zh-CN"/>
        </w:rPr>
        <w:t>区国有企业</w:t>
      </w:r>
      <w:r>
        <w:rPr>
          <w:rFonts w:hint="eastAsia" w:ascii="仿宋_GB2312" w:hAnsi="仿宋_GB2312" w:eastAsia="仿宋_GB2312" w:cs="仿宋_GB2312"/>
          <w:color w:val="auto"/>
          <w:spacing w:val="-4"/>
          <w:kern w:val="0"/>
          <w:sz w:val="32"/>
          <w:szCs w:val="32"/>
          <w:u w:val="none"/>
        </w:rPr>
        <w:t>履</w:t>
      </w:r>
      <w:r>
        <w:rPr>
          <w:rFonts w:hint="eastAsia" w:ascii="仿宋_GB2312" w:hAnsi="仿宋_GB2312" w:eastAsia="仿宋_GB2312" w:cs="仿宋_GB2312"/>
          <w:color w:val="auto"/>
          <w:sz w:val="32"/>
          <w:szCs w:val="32"/>
          <w:u w:val="none"/>
        </w:rPr>
        <w:t>行备案程序，其他经济行为涉及的估值事项管理方式和管理内容，包括管理主体、备案主体、审核主体、工作程序、估值机构选聘、估值结果使用等，由</w:t>
      </w:r>
      <w:r>
        <w:rPr>
          <w:rFonts w:hint="eastAsia" w:ascii="仿宋_GB2312" w:hAnsi="仿宋_GB2312" w:eastAsia="仿宋_GB2312" w:cs="仿宋_GB2312"/>
          <w:color w:val="auto"/>
          <w:sz w:val="32"/>
          <w:szCs w:val="32"/>
          <w:u w:val="none"/>
          <w:lang w:val="en-US" w:eastAsia="zh-CN"/>
        </w:rPr>
        <w:t>区国有企业</w:t>
      </w:r>
      <w:r>
        <w:rPr>
          <w:rFonts w:hint="eastAsia" w:ascii="仿宋_GB2312" w:hAnsi="仿宋_GB2312" w:eastAsia="仿宋_GB2312" w:cs="仿宋_GB2312"/>
          <w:color w:val="auto"/>
          <w:sz w:val="32"/>
          <w:szCs w:val="32"/>
          <w:u w:val="none"/>
        </w:rPr>
        <w:t>制定估值项目管理制度予以明确，并报送</w:t>
      </w:r>
      <w:r>
        <w:rPr>
          <w:rFonts w:hint="eastAsia" w:ascii="仿宋_GB2312" w:hAnsi="仿宋_GB2312" w:eastAsia="仿宋_GB2312" w:cs="仿宋_GB2312"/>
          <w:color w:val="auto"/>
          <w:sz w:val="32"/>
          <w:szCs w:val="32"/>
          <w:u w:val="none"/>
          <w:lang w:val="en-US" w:eastAsia="zh-CN"/>
        </w:rPr>
        <w:t>区国资办</w:t>
      </w:r>
      <w:r>
        <w:rPr>
          <w:rFonts w:hint="eastAsia" w:ascii="仿宋_GB2312" w:hAnsi="仿宋_GB2312" w:eastAsia="仿宋_GB2312" w:cs="仿宋_GB2312"/>
          <w:color w:val="auto"/>
          <w:sz w:val="32"/>
          <w:szCs w:val="32"/>
          <w:u w:val="none"/>
        </w:rPr>
        <w:t>。</w:t>
      </w:r>
    </w:p>
    <w:p w14:paraId="4D7D62BC">
      <w:pPr>
        <w:pStyle w:val="14"/>
        <w:keepNext w:val="0"/>
        <w:keepLines w:val="0"/>
        <w:pageBreakBefore w:val="0"/>
        <w:widowControl w:val="0"/>
        <w:kinsoku/>
        <w:wordWrap/>
        <w:topLinePunct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四）</w:t>
      </w:r>
      <w:r>
        <w:rPr>
          <w:rFonts w:hint="eastAsia" w:ascii="仿宋_GB2312" w:hAnsi="仿宋_GB2312" w:eastAsia="仿宋_GB2312" w:cs="仿宋_GB2312"/>
          <w:color w:val="auto"/>
          <w:spacing w:val="-4"/>
          <w:sz w:val="32"/>
          <w:szCs w:val="32"/>
        </w:rPr>
        <w:t xml:space="preserve">开展资产评估工作，应当具备下列前提条件： </w:t>
      </w:r>
    </w:p>
    <w:p w14:paraId="4BC9970A">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val="en-US" w:eastAsia="zh-CN"/>
        </w:rPr>
        <w:t>1.</w:t>
      </w:r>
      <w:r>
        <w:rPr>
          <w:rFonts w:hint="eastAsia" w:ascii="仿宋_GB2312" w:hAnsi="仿宋_GB2312" w:eastAsia="仿宋_GB2312" w:cs="仿宋_GB2312"/>
          <w:color w:val="auto"/>
          <w:spacing w:val="-4"/>
          <w:kern w:val="0"/>
          <w:sz w:val="32"/>
          <w:szCs w:val="32"/>
        </w:rPr>
        <w:t>资产评估对应的经济行为已经批准或决策</w:t>
      </w:r>
      <w:r>
        <w:rPr>
          <w:rFonts w:hint="eastAsia" w:ascii="仿宋_GB2312" w:hAnsi="仿宋_GB2312" w:eastAsia="仿宋_GB2312" w:cs="仿宋_GB2312"/>
          <w:color w:val="auto"/>
          <w:spacing w:val="-4"/>
          <w:kern w:val="0"/>
          <w:sz w:val="32"/>
          <w:szCs w:val="32"/>
          <w:lang w:eastAsia="zh-CN"/>
        </w:rPr>
        <w:t>审议</w:t>
      </w:r>
      <w:r>
        <w:rPr>
          <w:rFonts w:hint="eastAsia" w:ascii="仿宋_GB2312" w:hAnsi="仿宋_GB2312" w:eastAsia="仿宋_GB2312" w:cs="仿宋_GB2312"/>
          <w:color w:val="auto"/>
          <w:spacing w:val="-4"/>
          <w:kern w:val="0"/>
          <w:sz w:val="32"/>
          <w:szCs w:val="32"/>
        </w:rPr>
        <w:t>，并取得相应的合法书面依据，包括</w:t>
      </w:r>
      <w:r>
        <w:rPr>
          <w:rFonts w:hint="eastAsia" w:ascii="仿宋_GB2312" w:hAnsi="仿宋_GB2312" w:eastAsia="仿宋_GB2312" w:cs="仿宋_GB2312"/>
          <w:color w:val="auto"/>
          <w:spacing w:val="-4"/>
          <w:kern w:val="0"/>
          <w:sz w:val="32"/>
          <w:szCs w:val="32"/>
          <w:lang w:eastAsia="zh-CN"/>
        </w:rPr>
        <w:t>如</w:t>
      </w:r>
      <w:r>
        <w:rPr>
          <w:rFonts w:hint="eastAsia" w:ascii="仿宋_GB2312" w:hAnsi="仿宋_GB2312" w:eastAsia="仿宋_GB2312" w:cs="仿宋_GB2312"/>
          <w:color w:val="auto"/>
          <w:spacing w:val="-4"/>
          <w:kern w:val="0"/>
          <w:sz w:val="32"/>
          <w:szCs w:val="32"/>
        </w:rPr>
        <w:t>批准文件、股东会决议、董事会决议、合同等；</w:t>
      </w:r>
    </w:p>
    <w:p w14:paraId="4FD1503D">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val="en-US" w:eastAsia="zh-CN"/>
        </w:rPr>
        <w:t>2.</w:t>
      </w:r>
      <w:r>
        <w:rPr>
          <w:rFonts w:hint="eastAsia" w:ascii="仿宋_GB2312" w:hAnsi="仿宋_GB2312" w:eastAsia="仿宋_GB2312" w:cs="仿宋_GB2312"/>
          <w:color w:val="auto"/>
          <w:spacing w:val="-4"/>
          <w:kern w:val="0"/>
          <w:sz w:val="32"/>
          <w:szCs w:val="32"/>
        </w:rPr>
        <w:t xml:space="preserve">涉及企业价值评估的，已按规定开展专项审计；涉及土地、房产、珠宝、探矿权、采矿权等资产的评估项目，需委托具有相应资质的评估机构进行评估，并按照规定办理相应的手续。 </w:t>
      </w:r>
    </w:p>
    <w:p w14:paraId="01C4CE01">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auto"/>
          <w:spacing w:val="-4"/>
          <w:kern w:val="0"/>
          <w:sz w:val="32"/>
          <w:szCs w:val="32"/>
          <w:lang w:val="en-US" w:eastAsia="zh-CN"/>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五）</w:t>
      </w:r>
      <w:r>
        <w:rPr>
          <w:rFonts w:hint="eastAsia" w:ascii="仿宋_GB2312" w:hAnsi="仿宋_GB2312" w:eastAsia="仿宋_GB2312" w:cs="仿宋_GB2312"/>
          <w:color w:val="auto"/>
          <w:spacing w:val="-4"/>
          <w:kern w:val="0"/>
          <w:sz w:val="32"/>
          <w:szCs w:val="32"/>
        </w:rPr>
        <w:t>资产评估基准日</w:t>
      </w:r>
      <w:r>
        <w:rPr>
          <w:rFonts w:hint="eastAsia" w:ascii="仿宋_GB2312" w:hAnsi="仿宋_GB2312" w:eastAsia="仿宋_GB2312" w:cs="仿宋_GB2312"/>
          <w:color w:val="auto"/>
          <w:spacing w:val="-4"/>
          <w:kern w:val="0"/>
          <w:sz w:val="32"/>
          <w:szCs w:val="32"/>
          <w:lang w:eastAsia="zh-CN"/>
        </w:rPr>
        <w:t>选择应当严格遵循与评估目的对应的经济行为或特定事项的实施日期相接近的原则。原则上要求在经济行为批准前的</w:t>
      </w:r>
      <w:r>
        <w:rPr>
          <w:rFonts w:hint="eastAsia" w:ascii="仿宋_GB2312" w:hAnsi="仿宋_GB2312" w:eastAsia="仿宋_GB2312" w:cs="仿宋_GB2312"/>
          <w:color w:val="auto"/>
          <w:spacing w:val="-4"/>
          <w:kern w:val="0"/>
          <w:sz w:val="32"/>
          <w:szCs w:val="32"/>
          <w:lang w:val="en-US" w:eastAsia="zh-CN"/>
        </w:rPr>
        <w:t>3</w:t>
      </w:r>
      <w:r>
        <w:rPr>
          <w:rFonts w:hint="eastAsia" w:ascii="仿宋_GB2312" w:hAnsi="仿宋_GB2312" w:eastAsia="仿宋_GB2312" w:cs="仿宋_GB2312"/>
          <w:color w:val="auto"/>
          <w:spacing w:val="-4"/>
          <w:kern w:val="0"/>
          <w:sz w:val="32"/>
          <w:szCs w:val="32"/>
          <w:lang w:eastAsia="zh-CN"/>
        </w:rPr>
        <w:t>个月内；如有特殊情况，经批准可适当调整，但最长为经济行为批准前的</w:t>
      </w:r>
      <w:r>
        <w:rPr>
          <w:rFonts w:hint="eastAsia" w:ascii="仿宋_GB2312" w:hAnsi="仿宋_GB2312" w:eastAsia="仿宋_GB2312" w:cs="仿宋_GB2312"/>
          <w:color w:val="auto"/>
          <w:spacing w:val="-4"/>
          <w:kern w:val="0"/>
          <w:sz w:val="32"/>
          <w:szCs w:val="32"/>
          <w:lang w:val="en-US" w:eastAsia="zh-CN"/>
        </w:rPr>
        <w:t>6个月内。</w:t>
      </w:r>
    </w:p>
    <w:p w14:paraId="3F8C0E75">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六）</w:t>
      </w:r>
      <w:r>
        <w:rPr>
          <w:rFonts w:hint="eastAsia" w:ascii="仿宋_GB2312" w:hAnsi="仿宋_GB2312" w:eastAsia="仿宋_GB2312" w:cs="仿宋_GB2312"/>
          <w:color w:val="auto"/>
          <w:spacing w:val="-4"/>
          <w:kern w:val="0"/>
          <w:sz w:val="32"/>
          <w:szCs w:val="32"/>
        </w:rPr>
        <w:t>产权持有人和资产占有单位应</w:t>
      </w:r>
      <w:r>
        <w:rPr>
          <w:rFonts w:hint="eastAsia" w:ascii="仿宋_GB2312" w:hAnsi="仿宋_GB2312" w:eastAsia="仿宋_GB2312" w:cs="仿宋_GB2312"/>
          <w:color w:val="auto"/>
          <w:spacing w:val="-4"/>
          <w:kern w:val="0"/>
          <w:sz w:val="32"/>
          <w:szCs w:val="32"/>
          <w:lang w:eastAsia="zh-CN"/>
        </w:rPr>
        <w:t>当</w:t>
      </w:r>
      <w:r>
        <w:rPr>
          <w:rFonts w:hint="eastAsia" w:ascii="仿宋_GB2312" w:hAnsi="仿宋_GB2312" w:eastAsia="仿宋_GB2312" w:cs="仿宋_GB2312"/>
          <w:color w:val="auto"/>
          <w:spacing w:val="-4"/>
          <w:kern w:val="0"/>
          <w:sz w:val="32"/>
          <w:szCs w:val="32"/>
        </w:rPr>
        <w:t xml:space="preserve">如实提供资产权属证明文件、财务会计资料及生产经营管理资料等评估资料，确保资料真实、完整、有效，并按照资产评估准则和《企业国有资产评估报告指南》的要求，做好《企业关于进行资产评估有关事项的说明》的编写和相关的承诺工作，不得隐匿或虚报资产，不得以任何形式干预评估机构的正常执业行为。 </w:t>
      </w:r>
    </w:p>
    <w:p w14:paraId="4205E70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firstLine="624"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spacing w:val="-4"/>
          <w:kern w:val="0"/>
          <w:sz w:val="32"/>
          <w:szCs w:val="32"/>
          <w:highlight w:val="none"/>
          <w:lang w:val="en-US" w:eastAsia="zh-CN"/>
        </w:rPr>
        <w:t>七）</w:t>
      </w:r>
      <w:r>
        <w:rPr>
          <w:rFonts w:hint="eastAsia" w:ascii="仿宋_GB2312" w:hAnsi="仿宋_GB2312" w:eastAsia="仿宋_GB2312" w:cs="仿宋_GB2312"/>
          <w:color w:val="auto"/>
          <w:spacing w:val="-4"/>
          <w:kern w:val="0"/>
          <w:sz w:val="32"/>
          <w:szCs w:val="32"/>
          <w:lang w:eastAsia="zh-CN" w:bidi="ar"/>
        </w:rPr>
        <w:t>区</w:t>
      </w:r>
      <w:r>
        <w:rPr>
          <w:rFonts w:hint="eastAsia" w:ascii="仿宋_GB2312" w:hAnsi="仿宋_GB2312" w:eastAsia="仿宋_GB2312" w:cs="仿宋_GB2312"/>
          <w:color w:val="auto"/>
          <w:spacing w:val="-4"/>
          <w:kern w:val="0"/>
          <w:sz w:val="32"/>
          <w:szCs w:val="32"/>
          <w:lang w:val="en-US" w:eastAsia="zh-CN" w:bidi="ar"/>
        </w:rPr>
        <w:t>属国有企业应当建</w:t>
      </w:r>
      <w:r>
        <w:rPr>
          <w:rFonts w:hint="eastAsia" w:ascii="仿宋_GB2312" w:hAnsi="仿宋_GB2312" w:eastAsia="仿宋_GB2312" w:cs="仿宋_GB2312"/>
          <w:color w:val="auto"/>
          <w:kern w:val="0"/>
          <w:sz w:val="32"/>
          <w:szCs w:val="32"/>
          <w:lang w:val="en-US" w:eastAsia="zh-CN" w:bidi="ar"/>
        </w:rPr>
        <w:t>立资产评估项目公示制度，依法保障资产评估项目相关各方知情权和监督权</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spacing w:val="-4"/>
          <w:kern w:val="0"/>
          <w:sz w:val="32"/>
          <w:szCs w:val="32"/>
          <w:highlight w:val="none"/>
          <w:lang w:val="en-US" w:eastAsia="zh-CN"/>
        </w:rPr>
        <w:t>区属</w:t>
      </w:r>
      <w:r>
        <w:rPr>
          <w:rFonts w:hint="eastAsia" w:ascii="仿宋_GB2312" w:hAnsi="仿宋_GB2312" w:eastAsia="仿宋_GB2312" w:cs="仿宋_GB2312"/>
          <w:color w:val="auto"/>
          <w:spacing w:val="-4"/>
          <w:kern w:val="0"/>
          <w:sz w:val="32"/>
          <w:szCs w:val="32"/>
          <w:highlight w:val="none"/>
        </w:rPr>
        <w:t>国有企业及所属企业除公司制改造外的改制项目，以及</w:t>
      </w:r>
      <w:r>
        <w:rPr>
          <w:rFonts w:hint="eastAsia" w:ascii="仿宋_GB2312" w:hAnsi="仿宋_GB2312" w:eastAsia="仿宋_GB2312" w:cs="仿宋_GB2312"/>
          <w:color w:val="auto"/>
          <w:kern w:val="0"/>
          <w:sz w:val="32"/>
          <w:szCs w:val="32"/>
          <w:lang w:val="en-US" w:eastAsia="zh-CN" w:bidi="ar"/>
        </w:rPr>
        <w:t>按规定需由区国资办核准、备案的资产评估项目，</w:t>
      </w:r>
      <w:r>
        <w:rPr>
          <w:rFonts w:hint="eastAsia" w:ascii="仿宋_GB2312" w:hAnsi="仿宋_GB2312" w:eastAsia="仿宋_GB2312" w:cs="仿宋_GB2312"/>
          <w:strike w:val="0"/>
          <w:dstrike w:val="0"/>
          <w:color w:val="auto"/>
          <w:kern w:val="0"/>
          <w:sz w:val="32"/>
          <w:szCs w:val="32"/>
          <w:lang w:eastAsia="zh-CN" w:bidi="ar"/>
        </w:rPr>
        <w:t>企业</w:t>
      </w:r>
      <w:r>
        <w:rPr>
          <w:rFonts w:hint="eastAsia" w:ascii="仿宋_GB2312" w:hAnsi="仿宋_GB2312" w:eastAsia="仿宋_GB2312" w:cs="仿宋_GB2312"/>
          <w:color w:val="auto"/>
          <w:kern w:val="0"/>
          <w:sz w:val="32"/>
          <w:szCs w:val="32"/>
          <w:lang w:val="en-US" w:eastAsia="zh-CN" w:bidi="ar"/>
        </w:rPr>
        <w:t>应当在报区国资办</w:t>
      </w:r>
      <w:r>
        <w:rPr>
          <w:rFonts w:hint="eastAsia" w:ascii="仿宋_GB2312" w:hAnsi="仿宋_GB2312" w:eastAsia="仿宋_GB2312" w:cs="仿宋_GB2312"/>
          <w:color w:val="auto"/>
          <w:kern w:val="0"/>
          <w:sz w:val="32"/>
          <w:szCs w:val="32"/>
          <w:lang w:eastAsia="zh-CN" w:bidi="ar"/>
        </w:rPr>
        <w:t>或</w:t>
      </w:r>
      <w:r>
        <w:rPr>
          <w:rFonts w:hint="eastAsia" w:ascii="仿宋_GB2312" w:hAnsi="仿宋_GB2312" w:eastAsia="仿宋_GB2312" w:cs="仿宋_GB2312"/>
          <w:color w:val="auto"/>
          <w:kern w:val="0"/>
          <w:sz w:val="32"/>
          <w:szCs w:val="32"/>
          <w:lang w:val="en-US" w:eastAsia="zh-CN" w:bidi="ar"/>
        </w:rPr>
        <w:t>区属国有企业核准、备案前完成公示，公示期限一般不得少于5个工作日。</w:t>
      </w:r>
    </w:p>
    <w:p w14:paraId="1353D82D">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auto"/>
          <w:spacing w:val="-4"/>
          <w:kern w:val="0"/>
          <w:sz w:val="32"/>
          <w:szCs w:val="32"/>
          <w:highlight w:val="none"/>
        </w:rPr>
      </w:pPr>
      <w:r>
        <w:rPr>
          <w:rFonts w:hint="eastAsia" w:ascii="仿宋_GB2312" w:hAnsi="仿宋_GB2312" w:eastAsia="仿宋_GB2312" w:cs="仿宋_GB2312"/>
          <w:color w:val="auto"/>
          <w:spacing w:val="-4"/>
          <w:kern w:val="0"/>
          <w:sz w:val="32"/>
          <w:szCs w:val="32"/>
          <w:highlight w:val="none"/>
          <w:lang w:eastAsia="zh-CN"/>
        </w:rPr>
        <w:t>资产评估委托方应当根据</w:t>
      </w:r>
      <w:r>
        <w:rPr>
          <w:rFonts w:hint="eastAsia" w:ascii="仿宋_GB2312" w:hAnsi="仿宋_GB2312" w:eastAsia="仿宋_GB2312" w:cs="仿宋_GB2312"/>
          <w:color w:val="auto"/>
          <w:spacing w:val="-4"/>
          <w:kern w:val="0"/>
          <w:sz w:val="32"/>
          <w:szCs w:val="32"/>
          <w:highlight w:val="none"/>
        </w:rPr>
        <w:t>本办法规定</w:t>
      </w:r>
      <w:r>
        <w:rPr>
          <w:rFonts w:hint="eastAsia" w:ascii="仿宋_GB2312" w:hAnsi="仿宋_GB2312" w:eastAsia="仿宋_GB2312" w:cs="仿宋_GB2312"/>
          <w:color w:val="auto"/>
          <w:spacing w:val="-4"/>
          <w:kern w:val="0"/>
          <w:sz w:val="32"/>
          <w:szCs w:val="32"/>
          <w:highlight w:val="none"/>
          <w:lang w:eastAsia="zh-CN"/>
        </w:rPr>
        <w:t>，将</w:t>
      </w:r>
      <w:r>
        <w:rPr>
          <w:rFonts w:hint="eastAsia" w:ascii="仿宋_GB2312" w:hAnsi="仿宋_GB2312" w:eastAsia="仿宋_GB2312" w:cs="仿宋_GB2312"/>
          <w:color w:val="auto"/>
          <w:spacing w:val="-4"/>
          <w:kern w:val="0"/>
          <w:sz w:val="32"/>
          <w:szCs w:val="32"/>
          <w:highlight w:val="none"/>
        </w:rPr>
        <w:t>公示内容在</w:t>
      </w:r>
      <w:r>
        <w:rPr>
          <w:rFonts w:hint="eastAsia" w:ascii="仿宋_GB2312" w:hAnsi="仿宋_GB2312" w:eastAsia="仿宋_GB2312" w:cs="仿宋_GB2312"/>
          <w:color w:val="auto"/>
          <w:spacing w:val="-4"/>
          <w:kern w:val="0"/>
          <w:sz w:val="32"/>
          <w:szCs w:val="32"/>
          <w:highlight w:val="none"/>
          <w:lang w:val="en-US" w:eastAsia="zh-CN"/>
        </w:rPr>
        <w:t>区属</w:t>
      </w:r>
      <w:r>
        <w:rPr>
          <w:rFonts w:hint="eastAsia" w:ascii="仿宋_GB2312" w:hAnsi="仿宋_GB2312" w:eastAsia="仿宋_GB2312" w:cs="仿宋_GB2312"/>
          <w:color w:val="auto"/>
          <w:spacing w:val="-4"/>
          <w:kern w:val="0"/>
          <w:sz w:val="32"/>
          <w:szCs w:val="32"/>
          <w:highlight w:val="none"/>
          <w:lang w:eastAsia="zh-CN"/>
        </w:rPr>
        <w:t>国有企业</w:t>
      </w:r>
      <w:r>
        <w:rPr>
          <w:rFonts w:hint="eastAsia" w:ascii="仿宋_GB2312" w:hAnsi="仿宋_GB2312" w:eastAsia="仿宋_GB2312" w:cs="仿宋_GB2312"/>
          <w:color w:val="auto"/>
          <w:spacing w:val="-4"/>
          <w:kern w:val="0"/>
          <w:sz w:val="32"/>
          <w:szCs w:val="32"/>
          <w:highlight w:val="none"/>
        </w:rPr>
        <w:t>、产权持有人和资产占有单位的</w:t>
      </w:r>
      <w:r>
        <w:rPr>
          <w:rFonts w:hint="eastAsia" w:ascii="仿宋_GB2312" w:hAnsi="仿宋_GB2312" w:eastAsia="仿宋_GB2312" w:cs="仿宋_GB2312"/>
          <w:color w:val="auto"/>
          <w:kern w:val="0"/>
          <w:sz w:val="32"/>
          <w:szCs w:val="32"/>
          <w:lang w:val="en-US" w:eastAsia="zh-CN" w:bidi="ar"/>
        </w:rPr>
        <w:t>内部信息系统</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spacing w:val="-4"/>
          <w:kern w:val="0"/>
          <w:sz w:val="32"/>
          <w:szCs w:val="32"/>
          <w:highlight w:val="none"/>
        </w:rPr>
        <w:t>公共场所张贴，并以书面形式送达监事会、纪检监察、财务审计</w:t>
      </w:r>
      <w:r>
        <w:rPr>
          <w:rFonts w:hint="eastAsia" w:ascii="仿宋_GB2312" w:hAnsi="仿宋_GB2312" w:eastAsia="仿宋_GB2312" w:cs="仿宋_GB2312"/>
          <w:color w:val="auto"/>
          <w:spacing w:val="-4"/>
          <w:kern w:val="0"/>
          <w:sz w:val="32"/>
          <w:szCs w:val="32"/>
          <w:highlight w:val="none"/>
          <w:lang w:eastAsia="zh-CN"/>
        </w:rPr>
        <w:t>、综合监督</w:t>
      </w:r>
      <w:r>
        <w:rPr>
          <w:rFonts w:hint="eastAsia" w:ascii="仿宋_GB2312" w:hAnsi="仿宋_GB2312" w:eastAsia="仿宋_GB2312" w:cs="仿宋_GB2312"/>
          <w:color w:val="auto"/>
          <w:spacing w:val="-4"/>
          <w:kern w:val="0"/>
          <w:sz w:val="32"/>
          <w:szCs w:val="32"/>
          <w:highlight w:val="none"/>
        </w:rPr>
        <w:t>等部门，评估报告应</w:t>
      </w:r>
      <w:r>
        <w:rPr>
          <w:rFonts w:hint="eastAsia" w:ascii="仿宋_GB2312" w:hAnsi="仿宋_GB2312" w:eastAsia="仿宋_GB2312" w:cs="仿宋_GB2312"/>
          <w:color w:val="auto"/>
          <w:spacing w:val="-4"/>
          <w:kern w:val="0"/>
          <w:sz w:val="32"/>
          <w:szCs w:val="32"/>
          <w:highlight w:val="none"/>
          <w:lang w:eastAsia="zh-CN"/>
        </w:rPr>
        <w:t>当</w:t>
      </w:r>
      <w:r>
        <w:rPr>
          <w:rFonts w:hint="eastAsia" w:ascii="仿宋_GB2312" w:hAnsi="仿宋_GB2312" w:eastAsia="仿宋_GB2312" w:cs="仿宋_GB2312"/>
          <w:color w:val="auto"/>
          <w:spacing w:val="-4"/>
          <w:kern w:val="0"/>
          <w:sz w:val="32"/>
          <w:szCs w:val="32"/>
          <w:highlight w:val="none"/>
        </w:rPr>
        <w:t xml:space="preserve">作为公示的备查文件。 </w:t>
      </w:r>
    </w:p>
    <w:p w14:paraId="0A96095B">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八）</w:t>
      </w:r>
      <w:r>
        <w:rPr>
          <w:rFonts w:hint="eastAsia" w:ascii="仿宋_GB2312" w:hAnsi="仿宋_GB2312" w:eastAsia="仿宋_GB2312" w:cs="仿宋_GB2312"/>
          <w:color w:val="auto"/>
          <w:spacing w:val="-4"/>
          <w:kern w:val="0"/>
          <w:sz w:val="32"/>
          <w:szCs w:val="32"/>
        </w:rPr>
        <w:t xml:space="preserve">资产评估结果公示的主要内容包括： </w:t>
      </w:r>
    </w:p>
    <w:p w14:paraId="71CFF365">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资产评估对应的经济行为的批准情况； </w:t>
      </w:r>
    </w:p>
    <w:p w14:paraId="0270BFE8">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公开选聘评估机构情况； </w:t>
      </w:r>
    </w:p>
    <w:p w14:paraId="046D0389">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审计结果和评估结果摘要； </w:t>
      </w:r>
    </w:p>
    <w:p w14:paraId="061FEF68">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应纳入资产评估范围的实物资产明细表（含账面值）；采取成本法评估的，还需列示实物资产明细项目评估值；</w:t>
      </w:r>
    </w:p>
    <w:p w14:paraId="60AEEBBC">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5.选用的评估方法及相应评估值；</w:t>
      </w:r>
    </w:p>
    <w:p w14:paraId="0FF2E214">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6.最终选用的评估方法及评估结论；</w:t>
      </w:r>
    </w:p>
    <w:p w14:paraId="7E960D6F">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7.对公示内容提出异议的途径和方法；</w:t>
      </w:r>
    </w:p>
    <w:p w14:paraId="6838B487">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其他需要公示的内容。 </w:t>
      </w:r>
    </w:p>
    <w:p w14:paraId="060E7FBF">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九）</w:t>
      </w:r>
      <w:r>
        <w:rPr>
          <w:rFonts w:hint="eastAsia" w:ascii="仿宋_GB2312" w:hAnsi="仿宋_GB2312" w:eastAsia="仿宋_GB2312" w:cs="仿宋_GB2312"/>
          <w:color w:val="auto"/>
          <w:spacing w:val="-4"/>
          <w:kern w:val="0"/>
          <w:sz w:val="32"/>
          <w:szCs w:val="32"/>
        </w:rPr>
        <w:t>产权持有人、资产占有单位和评估机构应当及时妥善地对公示中发现的问题予以处理后申请核准或备案。公示收集到的意见应当作为资产评估项目申请核准或备案的附件资料。</w:t>
      </w:r>
    </w:p>
    <w:p w14:paraId="4121D21C">
      <w:pPr>
        <w:keepNext w:val="0"/>
        <w:keepLines w:val="0"/>
        <w:pageBreakBefore w:val="0"/>
        <w:widowControl w:val="0"/>
        <w:kinsoku/>
        <w:wordWrap/>
        <w:overflowPunct/>
        <w:topLinePunct w:val="0"/>
        <w:autoSpaceDE w:val="0"/>
        <w:autoSpaceDN w:val="0"/>
        <w:bidi w:val="0"/>
        <w:adjustRightInd w:val="0"/>
        <w:snapToGrid w:val="0"/>
        <w:spacing w:line="560" w:lineRule="exact"/>
        <w:ind w:leftChars="0" w:firstLine="624"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4"/>
          <w:kern w:val="0"/>
          <w:sz w:val="32"/>
          <w:szCs w:val="32"/>
          <w:u w:val="none"/>
          <w:lang w:eastAsia="zh-CN"/>
        </w:rPr>
        <w:t>（</w:t>
      </w:r>
      <w:r>
        <w:rPr>
          <w:rFonts w:hint="eastAsia" w:ascii="仿宋_GB2312" w:hAnsi="仿宋_GB2312" w:eastAsia="仿宋_GB2312" w:cs="仿宋_GB2312"/>
          <w:color w:val="auto"/>
          <w:spacing w:val="-4"/>
          <w:kern w:val="0"/>
          <w:sz w:val="32"/>
          <w:szCs w:val="32"/>
          <w:u w:val="none"/>
          <w:lang w:val="en-US" w:eastAsia="zh-CN"/>
        </w:rPr>
        <w:t>十）</w:t>
      </w:r>
      <w:r>
        <w:rPr>
          <w:rFonts w:hint="eastAsia" w:ascii="仿宋_GB2312" w:hAnsi="仿宋_GB2312" w:eastAsia="仿宋_GB2312" w:cs="仿宋_GB2312"/>
          <w:color w:val="auto"/>
          <w:spacing w:val="-4"/>
          <w:kern w:val="0"/>
          <w:sz w:val="32"/>
          <w:szCs w:val="32"/>
          <w:lang w:val="en-US" w:eastAsia="zh-CN"/>
        </w:rPr>
        <w:t>区属国有企业</w:t>
      </w:r>
      <w:r>
        <w:rPr>
          <w:rFonts w:hint="eastAsia" w:ascii="仿宋_GB2312" w:hAnsi="仿宋_GB2312" w:eastAsia="仿宋_GB2312" w:cs="仿宋_GB2312"/>
          <w:color w:val="auto"/>
          <w:spacing w:val="-4"/>
          <w:kern w:val="0"/>
          <w:sz w:val="32"/>
          <w:szCs w:val="32"/>
          <w:u w:val="none"/>
        </w:rPr>
        <w:t>及其</w:t>
      </w:r>
      <w:r>
        <w:rPr>
          <w:rFonts w:hint="eastAsia" w:ascii="仿宋_GB2312" w:hAnsi="仿宋_GB2312" w:eastAsia="仿宋_GB2312" w:cs="仿宋_GB2312"/>
          <w:color w:val="auto"/>
          <w:sz w:val="32"/>
          <w:szCs w:val="32"/>
          <w:u w:val="none"/>
        </w:rPr>
        <w:t>子企业参股的企业发生转让或者受让股权及资产、以非货币资产出资、非国有股东增资及减资、解散清算、收购非国有单位股权及资产等经济行为时，国有股东代表应当比照现行国有资产评估管理相关规定，发表对相关标的进行资产评估或估值的股东意见，最终以参股企业决策为准。</w:t>
      </w:r>
    </w:p>
    <w:p w14:paraId="4D01CFB2">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jc w:val="both"/>
        <w:rPr>
          <w:rFonts w:hint="eastAsia" w:ascii="黑体" w:hAnsi="黑体" w:eastAsia="黑体" w:cs="黑体"/>
          <w:color w:val="auto"/>
          <w:spacing w:val="-4"/>
          <w:kern w:val="0"/>
          <w:sz w:val="32"/>
          <w:szCs w:val="32"/>
          <w:lang w:val="en-US" w:eastAsia="zh-CN"/>
        </w:rPr>
      </w:pPr>
      <w:r>
        <w:rPr>
          <w:rFonts w:hint="eastAsia" w:ascii="黑体" w:hAnsi="黑体" w:eastAsia="黑体" w:cs="黑体"/>
          <w:color w:val="auto"/>
          <w:spacing w:val="-4"/>
          <w:kern w:val="0"/>
          <w:sz w:val="32"/>
          <w:szCs w:val="32"/>
          <w:lang w:val="en-US" w:eastAsia="zh-CN"/>
        </w:rPr>
        <w:t>三、知识产权、科技成果、数据资产等资产交易流转定价</w:t>
      </w:r>
    </w:p>
    <w:p w14:paraId="2A77CF8F">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企业及其子企业发生知识产权、科技成果、数据资产等资产转让、作价出资、收购等经济行为时，应当依据评估或估值结果作为定价参考依据。经咨询3家及以上专业机构，确难通过评估或估值方式对标的价值进行评定估算的，依照相关法律和企业章程履行决策程序后，可以通过挂牌交易、拍卖、询价、协议等方式确定交易价格，其中挂牌或拍卖底价可以参照其账面价值、历史投入成本等因素合理确定。</w:t>
      </w:r>
    </w:p>
    <w:p w14:paraId="4A4BB3DE">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通过询价方式确定知识产权、科技成果、数据资产转让、作价出资等交易价格的，企业应当组成询价小组，结合资产特点编写询价书，采用询价公告或报价邀请函的方式通知有意向的交易方，对报价文件进行审阅评定，综合考虑交易方意图、实力、价格等因素确定最终交易方。</w:t>
      </w:r>
    </w:p>
    <w:p w14:paraId="7554235F">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通过协议方式确定知识产权、科技成果、数据资产转让、作价出资或收购等交易价格的，应当结合其账面价值、历史投入成本等因素，邀请法律专家、财务专家、技术专家、行业专家在充分论证其法律价值、技术价值和经济价值的基础上综合确定，并在适当范围内进行公示。对于一次定价确有难度的，交易双方可以参照实际应用效果，约定价格调整原则、调整周期、重大事项节点等。</w:t>
      </w:r>
    </w:p>
    <w:p w14:paraId="12B2BAE1">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许可使用知识产权、科技成果、数据资产，可以采用销售额或利润提成、许可入门费加销售额或利润提成等方式确定许可费用。许可入门费和提成率可参照《国家知识产权局办公室关于印发&lt;专利开放许可使用费估算指引(试行)&gt;的通知》(国知办发运字〔2022〕56号〕，结合所在行业的平均净资产收益率、营业收入利润率等水平、许可使用对象的数量、许可费用的支付方式等因素合理确定。</w:t>
      </w:r>
    </w:p>
    <w:p w14:paraId="24FE6B05">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jc w:val="both"/>
        <w:rPr>
          <w:rFonts w:hint="eastAsia" w:ascii="黑体" w:hAnsi="黑体" w:eastAsia="黑体" w:cs="黑体"/>
          <w:color w:val="auto"/>
          <w:spacing w:val="-4"/>
          <w:kern w:val="0"/>
          <w:sz w:val="32"/>
          <w:szCs w:val="32"/>
          <w:lang w:val="en-US" w:eastAsia="zh-CN"/>
        </w:rPr>
      </w:pPr>
      <w:r>
        <w:rPr>
          <w:rFonts w:hint="eastAsia" w:ascii="黑体" w:hAnsi="黑体" w:eastAsia="黑体" w:cs="黑体"/>
          <w:color w:val="auto"/>
          <w:spacing w:val="-4"/>
          <w:kern w:val="0"/>
          <w:sz w:val="32"/>
          <w:szCs w:val="32"/>
          <w:lang w:val="en-US" w:eastAsia="zh-CN"/>
        </w:rPr>
        <w:t xml:space="preserve">四、评估中介机构管理 </w:t>
      </w:r>
    </w:p>
    <w:p w14:paraId="1820E395">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60" w:lineRule="exact"/>
        <w:ind w:left="0" w:leftChars="0" w:right="0" w:firstLine="624"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spacing w:val="-4"/>
          <w:kern w:val="0"/>
          <w:sz w:val="32"/>
          <w:szCs w:val="32"/>
          <w:highlight w:val="none"/>
          <w:lang w:val="en-US" w:eastAsia="zh-CN"/>
        </w:rPr>
        <w:t>一</w:t>
      </w: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
        </w:rPr>
        <w:t>区属国有企业应当采取</w:t>
      </w:r>
      <w:r>
        <w:rPr>
          <w:rFonts w:hint="eastAsia" w:ascii="仿宋_GB2312" w:hAnsi="仿宋_GB2312" w:eastAsia="仿宋_GB2312" w:cs="仿宋_GB2312"/>
          <w:color w:val="auto"/>
          <w:kern w:val="2"/>
          <w:sz w:val="32"/>
          <w:szCs w:val="32"/>
          <w:lang w:val="en-US" w:eastAsia="zh-CN" w:bidi="ar"/>
        </w:rPr>
        <w:t>单独或联合等合适方式，建立适应本企业各类评估业务需求的评估机构备选库。选择入库评选机构应当按照“公开、公平、公正”原则，根据</w:t>
      </w:r>
      <w:r>
        <w:rPr>
          <w:rFonts w:hint="eastAsia" w:ascii="仿宋_GB2312" w:hAnsi="仿宋_GB2312" w:eastAsia="仿宋_GB2312" w:cs="仿宋_GB2312"/>
          <w:color w:val="auto"/>
          <w:kern w:val="2"/>
          <w:sz w:val="32"/>
          <w:szCs w:val="32"/>
          <w:highlight w:val="none"/>
          <w:lang w:val="en-US" w:eastAsia="zh-CN" w:bidi="ar"/>
        </w:rPr>
        <w:t>区属</w:t>
      </w:r>
      <w:r>
        <w:rPr>
          <w:rFonts w:hint="eastAsia" w:ascii="仿宋_GB2312" w:hAnsi="仿宋_GB2312" w:eastAsia="仿宋_GB2312" w:cs="仿宋_GB2312"/>
          <w:color w:val="auto"/>
          <w:kern w:val="2"/>
          <w:sz w:val="32"/>
          <w:szCs w:val="32"/>
          <w:lang w:val="en-US" w:eastAsia="zh-CN" w:bidi="ar"/>
        </w:rPr>
        <w:t>国企及所属企业规模、区域分布、资产评估业务特点等，结合评估机构资质条件、人员规模、执业质量、执业信誉、技术特长、区域分布等因素合理进行。入库评估机构的数量应当与本企业评估项目的数量、规模和经济行为类型等相匹配。</w:t>
      </w:r>
    </w:p>
    <w:p w14:paraId="1AB1628E">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60" w:lineRule="exact"/>
        <w:ind w:left="0" w:leftChars="0" w:right="0" w:firstLine="624"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spacing w:val="-4"/>
          <w:kern w:val="0"/>
          <w:sz w:val="32"/>
          <w:szCs w:val="32"/>
          <w:highlight w:val="none"/>
          <w:lang w:val="en-US" w:eastAsia="zh-CN"/>
        </w:rPr>
        <w:t>二</w:t>
      </w: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
        </w:rPr>
        <w:t>区属</w:t>
      </w:r>
      <w:r>
        <w:rPr>
          <w:rFonts w:hint="eastAsia" w:ascii="仿宋_GB2312" w:hAnsi="仿宋_GB2312" w:eastAsia="仿宋_GB2312" w:cs="仿宋_GB2312"/>
          <w:color w:val="auto"/>
          <w:kern w:val="2"/>
          <w:sz w:val="32"/>
          <w:szCs w:val="32"/>
          <w:lang w:val="en-US" w:eastAsia="zh-CN" w:bidi="ar"/>
        </w:rPr>
        <w:t>国有企业选聘的备选评估机构应当符合以下条件：</w:t>
      </w:r>
    </w:p>
    <w:p w14:paraId="225E21F8">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1.具备法定执业资格，具有与企业评估需求相适应的资质条件、专业人员和专业特长；</w:t>
      </w:r>
    </w:p>
    <w:p w14:paraId="6AB80A42">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2.近3年没有重大违法违规执业记录，在承担国有资产评估工作中未出现重大质量问题或不良记录；</w:t>
      </w:r>
    </w:p>
    <w:p w14:paraId="72184467">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3.掌握企业所在行业的经济行为特点和相关市场信息，熟悉与企业及其所在行业相关的法规、政策；</w:t>
      </w:r>
    </w:p>
    <w:p w14:paraId="0AFF46B6">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4.具备健全、完善的内部质量控制体系，建有国有资产评估报告三级及三级以上审核制度；</w:t>
      </w:r>
    </w:p>
    <w:p w14:paraId="0B6FF3EC">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5.结合评估项目实际，企业认为需要具备的其他条件。</w:t>
      </w:r>
    </w:p>
    <w:p w14:paraId="618A5EC0">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60" w:lineRule="exact"/>
        <w:ind w:left="0" w:leftChars="0" w:right="0" w:firstLine="624"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spacing w:val="-4"/>
          <w:kern w:val="0"/>
          <w:sz w:val="32"/>
          <w:szCs w:val="32"/>
          <w:highlight w:val="none"/>
          <w:lang w:val="en-US" w:eastAsia="zh-CN"/>
        </w:rPr>
        <w:t>三</w:t>
      </w: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
        </w:rPr>
        <w:t>区属</w:t>
      </w:r>
      <w:r>
        <w:rPr>
          <w:rFonts w:hint="eastAsia" w:ascii="仿宋_GB2312" w:hAnsi="仿宋_GB2312" w:eastAsia="仿宋_GB2312" w:cs="仿宋_GB2312"/>
          <w:color w:val="auto"/>
          <w:kern w:val="2"/>
          <w:sz w:val="32"/>
          <w:szCs w:val="32"/>
          <w:lang w:val="en-US" w:eastAsia="zh-CN" w:bidi="ar"/>
        </w:rPr>
        <w:t>国有企业负责组织实施资产评估机构选聘建库工作，并应当在组织实施时，充分征求所属企业意见建议。</w:t>
      </w:r>
    </w:p>
    <w:p w14:paraId="09EEAC5B">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highlight w:val="none"/>
          <w:lang w:val="en-US" w:eastAsia="zh-CN" w:bidi="ar"/>
        </w:rPr>
        <w:t>区属</w:t>
      </w:r>
      <w:r>
        <w:rPr>
          <w:rFonts w:hint="eastAsia" w:ascii="仿宋_GB2312" w:hAnsi="仿宋_GB2312" w:eastAsia="仿宋_GB2312" w:cs="仿宋_GB2312"/>
          <w:color w:val="auto"/>
          <w:kern w:val="2"/>
          <w:sz w:val="32"/>
          <w:szCs w:val="32"/>
          <w:lang w:val="en-US" w:eastAsia="zh-CN" w:bidi="ar"/>
        </w:rPr>
        <w:t>国有企业建立（包括后续调整）评估机构备选库，其产权管理、财务、审计、法律等部门人员应当参与选聘，或配合开展相关工作。</w:t>
      </w:r>
    </w:p>
    <w:p w14:paraId="790A1119">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60" w:lineRule="exact"/>
        <w:ind w:left="0" w:leftChars="0" w:right="0" w:firstLine="624"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spacing w:val="-4"/>
          <w:kern w:val="0"/>
          <w:sz w:val="32"/>
          <w:szCs w:val="32"/>
          <w:highlight w:val="none"/>
          <w:lang w:val="en-US" w:eastAsia="zh-CN"/>
        </w:rPr>
        <w:t>四</w:t>
      </w: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
        </w:rPr>
        <w:t>区属</w:t>
      </w:r>
      <w:r>
        <w:rPr>
          <w:rFonts w:hint="eastAsia" w:ascii="仿宋_GB2312" w:hAnsi="仿宋_GB2312" w:eastAsia="仿宋_GB2312" w:cs="仿宋_GB2312"/>
          <w:color w:val="auto"/>
          <w:kern w:val="2"/>
          <w:sz w:val="32"/>
          <w:szCs w:val="32"/>
          <w:lang w:val="en-US" w:eastAsia="zh-CN" w:bidi="ar"/>
        </w:rPr>
        <w:t>国有企业选聘入库评估机构，应当签订书面协议，并明确以下事项：</w:t>
      </w:r>
    </w:p>
    <w:p w14:paraId="5F6A5457">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1.评估机构在库期间出现违法违规执业情形的处理方式；</w:t>
      </w:r>
    </w:p>
    <w:p w14:paraId="0B70CC62">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2.评估机构如因违法违规执业等受到行政处罚或者行业协会惩戒，应当在收到处罚或惩戒决定后5个工作日内主动告知区属国有企业。</w:t>
      </w:r>
    </w:p>
    <w:p w14:paraId="040651C5">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评估机构因受到行政处罚及行业协会公开谴责及以上惩戒的，应当解除聘用合同；受到其他惩戒的，整改完成前不得承担国有资产评估项目。相关情况应当及时报区国资办。</w:t>
      </w:r>
    </w:p>
    <w:p w14:paraId="55F8408A">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60" w:lineRule="exact"/>
        <w:ind w:left="0" w:leftChars="0" w:right="0" w:firstLine="624"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spacing w:val="-4"/>
          <w:kern w:val="0"/>
          <w:sz w:val="32"/>
          <w:szCs w:val="32"/>
          <w:highlight w:val="none"/>
          <w:lang w:val="en-US" w:eastAsia="zh-CN"/>
        </w:rPr>
        <w:t>五</w:t>
      </w: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
        </w:rPr>
        <w:t>区属</w:t>
      </w:r>
      <w:r>
        <w:rPr>
          <w:rFonts w:hint="eastAsia" w:ascii="仿宋_GB2312" w:hAnsi="仿宋_GB2312" w:eastAsia="仿宋_GB2312" w:cs="仿宋_GB2312"/>
          <w:color w:val="auto"/>
          <w:kern w:val="2"/>
          <w:sz w:val="32"/>
          <w:szCs w:val="32"/>
          <w:lang w:val="en-US" w:eastAsia="zh-CN" w:bidi="ar"/>
        </w:rPr>
        <w:t>国有企业确定或调整拟入库备选评估机构，应当在本企业公告；公告的内容包括备选评估机构名单、选聘时限等基本信息。公告期截止后7个工作日内，</w:t>
      </w:r>
      <w:r>
        <w:rPr>
          <w:rFonts w:hint="eastAsia" w:ascii="仿宋_GB2312" w:hAnsi="仿宋_GB2312" w:eastAsia="仿宋_GB2312" w:cs="仿宋_GB2312"/>
          <w:color w:val="auto"/>
          <w:kern w:val="2"/>
          <w:sz w:val="32"/>
          <w:szCs w:val="32"/>
          <w:highlight w:val="none"/>
          <w:lang w:val="en-US" w:eastAsia="zh-CN" w:bidi="ar"/>
        </w:rPr>
        <w:t>区属</w:t>
      </w:r>
      <w:r>
        <w:rPr>
          <w:rFonts w:hint="eastAsia" w:ascii="仿宋_GB2312" w:hAnsi="仿宋_GB2312" w:eastAsia="仿宋_GB2312" w:cs="仿宋_GB2312"/>
          <w:color w:val="auto"/>
          <w:kern w:val="2"/>
          <w:sz w:val="32"/>
          <w:szCs w:val="32"/>
          <w:lang w:val="en-US" w:eastAsia="zh-CN" w:bidi="ar"/>
        </w:rPr>
        <w:t>国有企业应当将备选评估机构名单、选聘情况及评估机构备选库制度报区国资办备案。</w:t>
      </w:r>
    </w:p>
    <w:p w14:paraId="23FA4FF0">
      <w:pPr>
        <w:keepNext w:val="0"/>
        <w:keepLines w:val="0"/>
        <w:pageBreakBefore w:val="0"/>
        <w:widowControl w:val="0"/>
        <w:suppressLineNumbers w:val="0"/>
        <w:kinsoku/>
        <w:wordWrap/>
        <w:overflowPunct w:val="0"/>
        <w:topLinePunct w:val="0"/>
        <w:bidi w:val="0"/>
        <w:adjustRightInd w:val="0"/>
        <w:snapToGrid w:val="0"/>
        <w:spacing w:before="0" w:beforeAutospacing="0" w:after="0" w:afterAutospacing="0" w:line="560" w:lineRule="exact"/>
        <w:ind w:left="0" w:leftChars="0" w:right="0" w:firstLine="624"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spacing w:val="-4"/>
          <w:kern w:val="0"/>
          <w:sz w:val="32"/>
          <w:szCs w:val="32"/>
          <w:highlight w:val="none"/>
          <w:lang w:val="en-US" w:eastAsia="zh-CN"/>
        </w:rPr>
        <w:t>六</w:t>
      </w: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
        </w:rPr>
        <w:t>区属</w:t>
      </w:r>
      <w:r>
        <w:rPr>
          <w:rFonts w:hint="eastAsia" w:ascii="仿宋_GB2312" w:hAnsi="仿宋_GB2312" w:eastAsia="仿宋_GB2312" w:cs="仿宋_GB2312"/>
          <w:color w:val="auto"/>
          <w:kern w:val="2"/>
          <w:sz w:val="32"/>
          <w:szCs w:val="32"/>
          <w:lang w:val="en-US" w:eastAsia="zh-CN" w:bidi="ar"/>
        </w:rPr>
        <w:t>国有企业应当根据评估机构执业质量评价结果，结合企业评估业务发展变化需要等，对评估机构备选库实行动态管理，原则上两年调整一次，每次调整应有一定比例更换。</w:t>
      </w:r>
      <w:r>
        <w:rPr>
          <w:rFonts w:hint="eastAsia" w:ascii="仿宋_GB2312" w:hAnsi="仿宋_GB2312" w:eastAsia="仿宋_GB2312" w:cs="仿宋_GB2312"/>
          <w:color w:val="auto"/>
          <w:kern w:val="0"/>
          <w:sz w:val="32"/>
          <w:szCs w:val="32"/>
          <w:lang w:val="en-US" w:eastAsia="zh-CN" w:bidi="ar"/>
        </w:rPr>
        <w:t>评价结果和评估机构备选库变动情况，应当及时报告区国资办。</w:t>
      </w:r>
    </w:p>
    <w:p w14:paraId="2946A22A">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spacing w:val="-4"/>
          <w:kern w:val="0"/>
          <w:sz w:val="32"/>
          <w:szCs w:val="32"/>
          <w:highlight w:val="none"/>
          <w:lang w:val="en-US" w:eastAsia="zh-CN"/>
        </w:rPr>
        <w:t>七</w:t>
      </w: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spacing w:val="-4"/>
          <w:kern w:val="0"/>
          <w:sz w:val="32"/>
          <w:szCs w:val="32"/>
        </w:rPr>
        <w:t>评估机构应当独立、客观、公正地出具评估报告，并对出具的评估报告负责。评估报告应当符合《企业国有资产评估报告指南》和</w:t>
      </w:r>
      <w:r>
        <w:rPr>
          <w:rFonts w:hint="eastAsia" w:ascii="仿宋_GB2312" w:hAnsi="仿宋_GB2312" w:eastAsia="仿宋_GB2312" w:cs="仿宋_GB2312"/>
          <w:color w:val="auto"/>
          <w:spacing w:val="-4"/>
          <w:kern w:val="0"/>
          <w:sz w:val="32"/>
          <w:szCs w:val="32"/>
          <w:lang w:val="en-US" w:eastAsia="zh-CN"/>
        </w:rPr>
        <w:t>区国资办</w:t>
      </w:r>
      <w:r>
        <w:rPr>
          <w:rFonts w:hint="eastAsia" w:ascii="仿宋_GB2312" w:hAnsi="仿宋_GB2312" w:eastAsia="仿宋_GB2312" w:cs="仿宋_GB2312"/>
          <w:color w:val="auto"/>
          <w:spacing w:val="-4"/>
          <w:kern w:val="0"/>
          <w:sz w:val="32"/>
          <w:szCs w:val="32"/>
        </w:rPr>
        <w:t xml:space="preserve">的要求，报告格式规范、表达清楚，内容详尽、评估结论恰当、信息披露完整、评估报告及所附资料齐全。 </w:t>
      </w:r>
    </w:p>
    <w:p w14:paraId="3E1C7678">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spacing w:val="-4"/>
          <w:kern w:val="0"/>
          <w:sz w:val="32"/>
          <w:szCs w:val="32"/>
          <w:highlight w:val="none"/>
          <w:lang w:val="en-US" w:eastAsia="zh-CN"/>
        </w:rPr>
        <w:t>八</w:t>
      </w: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spacing w:val="-4"/>
          <w:kern w:val="0"/>
          <w:sz w:val="32"/>
          <w:szCs w:val="32"/>
        </w:rPr>
        <w:t>评估机构需按照应聘承诺或</w:t>
      </w:r>
      <w:r>
        <w:rPr>
          <w:rFonts w:hint="eastAsia" w:ascii="仿宋_GB2312" w:hAnsi="仿宋_GB2312" w:eastAsia="仿宋_GB2312" w:cs="仿宋_GB2312"/>
          <w:color w:val="auto"/>
          <w:spacing w:val="-4"/>
          <w:kern w:val="0"/>
          <w:sz w:val="32"/>
          <w:szCs w:val="32"/>
          <w:lang w:eastAsia="zh-CN"/>
        </w:rPr>
        <w:t>资产评估委托合同</w:t>
      </w:r>
      <w:r>
        <w:rPr>
          <w:rFonts w:hint="eastAsia" w:ascii="仿宋_GB2312" w:hAnsi="仿宋_GB2312" w:eastAsia="仿宋_GB2312" w:cs="仿宋_GB2312"/>
          <w:color w:val="auto"/>
          <w:spacing w:val="-4"/>
          <w:kern w:val="0"/>
          <w:sz w:val="32"/>
          <w:szCs w:val="32"/>
        </w:rPr>
        <w:t>的要求开展资产评估业务，并按时提交资产评估报告。评估过程中，需</w:t>
      </w:r>
      <w:r>
        <w:rPr>
          <w:rFonts w:hint="eastAsia" w:ascii="仿宋_GB2312" w:hAnsi="仿宋_GB2312" w:eastAsia="仿宋_GB2312" w:cs="仿宋_GB2312"/>
          <w:color w:val="auto"/>
          <w:spacing w:val="-4"/>
          <w:kern w:val="0"/>
          <w:sz w:val="32"/>
          <w:szCs w:val="32"/>
          <w:lang w:val="en-US" w:eastAsia="zh-CN"/>
        </w:rPr>
        <w:t>区国资办</w:t>
      </w:r>
      <w:r>
        <w:rPr>
          <w:rFonts w:hint="eastAsia" w:ascii="仿宋_GB2312" w:hAnsi="仿宋_GB2312" w:eastAsia="仿宋_GB2312" w:cs="仿宋_GB2312"/>
          <w:color w:val="auto"/>
          <w:spacing w:val="-4"/>
          <w:kern w:val="0"/>
          <w:sz w:val="32"/>
          <w:szCs w:val="32"/>
        </w:rPr>
        <w:t>明确或应该知道的事项，评估机构需及时报告</w:t>
      </w:r>
      <w:r>
        <w:rPr>
          <w:rFonts w:hint="eastAsia" w:ascii="仿宋_GB2312" w:hAnsi="仿宋_GB2312" w:eastAsia="仿宋_GB2312" w:cs="仿宋_GB2312"/>
          <w:color w:val="auto"/>
          <w:spacing w:val="-4"/>
          <w:kern w:val="0"/>
          <w:sz w:val="32"/>
          <w:szCs w:val="32"/>
          <w:lang w:val="en-US" w:eastAsia="zh-CN"/>
        </w:rPr>
        <w:t>区国资办</w:t>
      </w:r>
      <w:r>
        <w:rPr>
          <w:rFonts w:hint="eastAsia" w:ascii="仿宋_GB2312" w:hAnsi="仿宋_GB2312" w:eastAsia="仿宋_GB2312" w:cs="仿宋_GB2312"/>
          <w:color w:val="auto"/>
          <w:spacing w:val="-4"/>
          <w:kern w:val="0"/>
          <w:sz w:val="32"/>
          <w:szCs w:val="32"/>
        </w:rPr>
        <w:t>。除遇特殊情况，按管理权限以书面形式报经</w:t>
      </w:r>
      <w:r>
        <w:rPr>
          <w:rFonts w:hint="eastAsia" w:ascii="仿宋_GB2312" w:hAnsi="仿宋_GB2312" w:eastAsia="仿宋_GB2312" w:cs="仿宋_GB2312"/>
          <w:color w:val="auto"/>
          <w:spacing w:val="-4"/>
          <w:kern w:val="0"/>
          <w:sz w:val="32"/>
          <w:szCs w:val="32"/>
          <w:lang w:val="en-US" w:eastAsia="zh-CN"/>
        </w:rPr>
        <w:t>区国资办</w:t>
      </w:r>
      <w:r>
        <w:rPr>
          <w:rFonts w:hint="eastAsia" w:ascii="仿宋_GB2312" w:hAnsi="仿宋_GB2312" w:eastAsia="仿宋_GB2312" w:cs="仿宋_GB2312"/>
          <w:color w:val="auto"/>
          <w:spacing w:val="-4"/>
          <w:kern w:val="0"/>
          <w:sz w:val="32"/>
          <w:szCs w:val="32"/>
        </w:rPr>
        <w:t>、</w:t>
      </w:r>
      <w:r>
        <w:rPr>
          <w:rFonts w:hint="eastAsia" w:ascii="仿宋_GB2312" w:hAnsi="仿宋_GB2312" w:eastAsia="仿宋_GB2312" w:cs="仿宋_GB2312"/>
          <w:color w:val="auto"/>
          <w:spacing w:val="-4"/>
          <w:kern w:val="0"/>
          <w:sz w:val="32"/>
          <w:szCs w:val="32"/>
          <w:lang w:val="en-US" w:eastAsia="zh-CN"/>
        </w:rPr>
        <w:t>区属国有企业</w:t>
      </w:r>
      <w:r>
        <w:rPr>
          <w:rFonts w:hint="eastAsia" w:ascii="仿宋_GB2312" w:hAnsi="仿宋_GB2312" w:eastAsia="仿宋_GB2312" w:cs="仿宋_GB2312"/>
          <w:color w:val="auto"/>
          <w:spacing w:val="-4"/>
          <w:kern w:val="0"/>
          <w:sz w:val="32"/>
          <w:szCs w:val="32"/>
        </w:rPr>
        <w:t xml:space="preserve">同意外，评估机构延迟提交资产评估报告的将被视为违约行为。 </w:t>
      </w:r>
    </w:p>
    <w:p w14:paraId="7582A6B2">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jc w:val="both"/>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spacing w:val="-4"/>
          <w:kern w:val="0"/>
          <w:sz w:val="32"/>
          <w:szCs w:val="32"/>
          <w:highlight w:val="none"/>
          <w:lang w:val="en-US" w:eastAsia="zh-CN"/>
        </w:rPr>
        <w:t>九</w:t>
      </w:r>
      <w:r>
        <w:rPr>
          <w:rFonts w:hint="eastAsia" w:ascii="仿宋_GB2312" w:hAnsi="仿宋_GB2312" w:eastAsia="仿宋_GB2312" w:cs="仿宋_GB2312"/>
          <w:color w:val="auto"/>
          <w:spacing w:val="-4"/>
          <w:kern w:val="0"/>
          <w:sz w:val="32"/>
          <w:szCs w:val="32"/>
          <w:highlight w:val="none"/>
          <w:lang w:eastAsia="zh-CN"/>
        </w:rPr>
        <w:t>）</w:t>
      </w:r>
      <w:r>
        <w:rPr>
          <w:rFonts w:hint="eastAsia" w:ascii="仿宋_GB2312" w:hAnsi="仿宋_GB2312" w:eastAsia="仿宋_GB2312" w:cs="仿宋_GB2312"/>
          <w:color w:val="auto"/>
          <w:spacing w:val="-4"/>
          <w:kern w:val="0"/>
          <w:sz w:val="32"/>
          <w:szCs w:val="32"/>
        </w:rPr>
        <w:t>评估机构对</w:t>
      </w:r>
      <w:r>
        <w:rPr>
          <w:rFonts w:hint="eastAsia" w:ascii="仿宋_GB2312" w:hAnsi="仿宋_GB2312" w:eastAsia="仿宋_GB2312" w:cs="仿宋_GB2312"/>
          <w:color w:val="auto"/>
          <w:spacing w:val="-4"/>
          <w:kern w:val="0"/>
          <w:sz w:val="32"/>
          <w:szCs w:val="32"/>
          <w:lang w:val="en-US" w:eastAsia="zh-CN"/>
        </w:rPr>
        <w:t>区国资办</w:t>
      </w:r>
      <w:r>
        <w:rPr>
          <w:rFonts w:hint="eastAsia" w:ascii="仿宋_GB2312" w:hAnsi="仿宋_GB2312" w:eastAsia="仿宋_GB2312" w:cs="仿宋_GB2312"/>
          <w:color w:val="auto"/>
          <w:spacing w:val="-4"/>
          <w:kern w:val="0"/>
          <w:sz w:val="32"/>
          <w:szCs w:val="32"/>
        </w:rPr>
        <w:t>在评估报告审核中提出的质疑，应当及时予以答复和解释，并根据审核意见进行补充、说明和完善，出具书面补充意见或修正评估报告。对存在严重问题的评估报告,</w:t>
      </w:r>
      <w:r>
        <w:rPr>
          <w:rFonts w:hint="eastAsia" w:ascii="仿宋_GB2312" w:hAnsi="仿宋_GB2312" w:eastAsia="仿宋_GB2312" w:cs="仿宋_GB2312"/>
          <w:color w:val="auto"/>
          <w:spacing w:val="-4"/>
          <w:kern w:val="0"/>
          <w:sz w:val="32"/>
          <w:szCs w:val="32"/>
          <w:lang w:val="en-US" w:eastAsia="zh-CN"/>
        </w:rPr>
        <w:t>区国资办</w:t>
      </w:r>
      <w:r>
        <w:rPr>
          <w:rFonts w:hint="eastAsia" w:ascii="仿宋_GB2312" w:hAnsi="仿宋_GB2312" w:eastAsia="仿宋_GB2312" w:cs="仿宋_GB2312"/>
          <w:color w:val="auto"/>
          <w:spacing w:val="-4"/>
          <w:kern w:val="0"/>
          <w:sz w:val="32"/>
          <w:szCs w:val="32"/>
        </w:rPr>
        <w:t xml:space="preserve">认为必要的可予以否定。 </w:t>
      </w:r>
    </w:p>
    <w:p w14:paraId="5191233B">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jc w:val="both"/>
        <w:rPr>
          <w:rFonts w:hint="eastAsia" w:ascii="黑体" w:hAnsi="黑体" w:eastAsia="黑体" w:cs="黑体"/>
          <w:color w:val="auto"/>
          <w:spacing w:val="-4"/>
          <w:kern w:val="0"/>
          <w:sz w:val="32"/>
          <w:szCs w:val="32"/>
          <w:lang w:eastAsia="zh-CN"/>
        </w:rPr>
      </w:pPr>
      <w:r>
        <w:rPr>
          <w:rFonts w:hint="eastAsia" w:ascii="黑体" w:hAnsi="黑体" w:eastAsia="黑体" w:cs="黑体"/>
          <w:color w:val="auto"/>
          <w:spacing w:val="-4"/>
          <w:kern w:val="0"/>
          <w:sz w:val="32"/>
          <w:szCs w:val="32"/>
          <w:lang w:val="en-US" w:eastAsia="zh-CN"/>
        </w:rPr>
        <w:t>五、</w:t>
      </w:r>
      <w:r>
        <w:rPr>
          <w:rFonts w:hint="eastAsia" w:ascii="黑体" w:hAnsi="黑体" w:eastAsia="黑体" w:cs="黑体"/>
          <w:color w:val="auto"/>
          <w:spacing w:val="-4"/>
          <w:kern w:val="0"/>
          <w:sz w:val="32"/>
          <w:szCs w:val="32"/>
          <w:lang w:eastAsia="zh-CN"/>
        </w:rPr>
        <w:t xml:space="preserve">评估委托和机构选聘 </w:t>
      </w:r>
    </w:p>
    <w:p w14:paraId="118B5A3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firstLine="624" w:firstLineChars="200"/>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一</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rPr>
        <w:t>资产评估的委托主体为产权持有人或资产占有</w:t>
      </w:r>
      <w:r>
        <w:rPr>
          <w:rFonts w:hint="eastAsia" w:ascii="仿宋_GB2312" w:hAnsi="仿宋_GB2312" w:eastAsia="仿宋_GB2312" w:cs="仿宋_GB2312"/>
          <w:color w:val="auto"/>
          <w:spacing w:val="-4"/>
          <w:kern w:val="0"/>
          <w:sz w:val="32"/>
          <w:szCs w:val="32"/>
          <w:lang w:eastAsia="zh-CN"/>
        </w:rPr>
        <w:t>（管理）</w:t>
      </w:r>
      <w:r>
        <w:rPr>
          <w:rFonts w:hint="eastAsia" w:ascii="仿宋_GB2312" w:hAnsi="仿宋_GB2312" w:eastAsia="仿宋_GB2312" w:cs="仿宋_GB2312"/>
          <w:color w:val="auto"/>
          <w:spacing w:val="-4"/>
          <w:kern w:val="0"/>
          <w:sz w:val="32"/>
          <w:szCs w:val="32"/>
        </w:rPr>
        <w:t>单位。</w:t>
      </w:r>
    </w:p>
    <w:p w14:paraId="457C2F4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firstLine="624" w:firstLineChars="200"/>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rPr>
        <w:t>涉及国有产权变动的，由产权单位（产权转让方或拟增资扩股企业）作为委托单位；涉及投资的，由投资单位作为委托单位；涉及以增资扩股方式实施企业管理层和核心骨干持股的，由该增资扩股企业及持股比例最大的国有股东共同作为委托单位；有特殊情况的，由经济行为批准单位确定委托单位。</w:t>
      </w:r>
    </w:p>
    <w:p w14:paraId="5B2272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FF0000"/>
          <w:sz w:val="32"/>
          <w:szCs w:val="32"/>
          <w:u w:val="single"/>
          <w:lang w:eastAsia="zh-CN"/>
        </w:rPr>
      </w:pPr>
      <w:r>
        <w:rPr>
          <w:rFonts w:hint="eastAsia" w:ascii="仿宋_GB2312" w:hAnsi="仿宋_GB2312" w:eastAsia="仿宋_GB2312" w:cs="仿宋_GB2312"/>
          <w:color w:val="auto"/>
          <w:sz w:val="32"/>
          <w:szCs w:val="32"/>
          <w:u w:val="none"/>
        </w:rPr>
        <w:t>多个国有股东对同一评估对象发生相同经济行为时，经协商一致可以签订书面协议，明确由其中一方委托专业机构评估或估值，并依照其产权关系办理核准或备案手续。</w:t>
      </w:r>
    </w:p>
    <w:p w14:paraId="53D09072">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二</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rPr>
        <w:t>评估机构的选聘应当按照下列要求进行：</w:t>
      </w:r>
    </w:p>
    <w:p w14:paraId="506E0D3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firstLine="624" w:firstLineChars="200"/>
        <w:jc w:val="both"/>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val="en-US" w:eastAsia="zh-CN"/>
        </w:rPr>
        <w:t>1.</w:t>
      </w:r>
      <w:r>
        <w:rPr>
          <w:rFonts w:hint="eastAsia" w:ascii="仿宋_GB2312" w:hAnsi="仿宋_GB2312" w:eastAsia="仿宋_GB2312" w:cs="仿宋_GB2312"/>
          <w:color w:val="auto"/>
          <w:kern w:val="2"/>
          <w:sz w:val="32"/>
          <w:szCs w:val="32"/>
          <w:lang w:val="en-US" w:eastAsia="zh-CN" w:bidi="ar"/>
        </w:rPr>
        <w:t>区国资办核准的及认为需要统一选择中介机构的评估项目，视情况在相关区属国有企业评估机构备选库内组织选聘。</w:t>
      </w:r>
      <w:r>
        <w:rPr>
          <w:rFonts w:hint="eastAsia" w:ascii="仿宋_GB2312" w:hAnsi="仿宋_GB2312" w:eastAsia="仿宋_GB2312" w:cs="仿宋_GB2312"/>
          <w:strike w:val="0"/>
          <w:dstrike w:val="0"/>
          <w:color w:val="auto"/>
          <w:spacing w:val="-4"/>
          <w:kern w:val="0"/>
          <w:sz w:val="32"/>
          <w:szCs w:val="32"/>
        </w:rPr>
        <w:t>其他评估项目由企业</w:t>
      </w:r>
      <w:r>
        <w:rPr>
          <w:rFonts w:hint="eastAsia" w:ascii="仿宋_GB2312" w:hAnsi="仿宋_GB2312" w:eastAsia="仿宋_GB2312" w:cs="仿宋_GB2312"/>
          <w:color w:val="auto"/>
          <w:kern w:val="2"/>
          <w:sz w:val="32"/>
          <w:szCs w:val="32"/>
          <w:lang w:val="en-US" w:eastAsia="zh-CN" w:bidi="ar"/>
        </w:rPr>
        <w:t>在备选库内公开选聘；</w:t>
      </w:r>
    </w:p>
    <w:p w14:paraId="00616193">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val="en-US" w:eastAsia="zh-CN"/>
        </w:rPr>
        <w:t>2.</w:t>
      </w:r>
      <w:r>
        <w:rPr>
          <w:rFonts w:hint="eastAsia" w:ascii="仿宋_GB2312" w:hAnsi="仿宋_GB2312" w:eastAsia="仿宋_GB2312" w:cs="仿宋_GB2312"/>
          <w:color w:val="auto"/>
          <w:spacing w:val="-4"/>
          <w:kern w:val="0"/>
          <w:sz w:val="32"/>
          <w:szCs w:val="32"/>
        </w:rPr>
        <w:t>涉及上市或拟上市企业的资产评估项目，须委托具备证券业务资格的评估机构</w:t>
      </w:r>
      <w:r>
        <w:rPr>
          <w:rFonts w:hint="eastAsia" w:ascii="仿宋_GB2312" w:hAnsi="仿宋_GB2312" w:eastAsia="仿宋_GB2312" w:cs="仿宋_GB2312"/>
          <w:color w:val="auto"/>
          <w:spacing w:val="-4"/>
          <w:kern w:val="0"/>
          <w:sz w:val="32"/>
          <w:szCs w:val="32"/>
          <w:lang w:eastAsia="zh-CN"/>
        </w:rPr>
        <w:t>；</w:t>
      </w:r>
    </w:p>
    <w:p w14:paraId="602A8D2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val="en-US" w:eastAsia="zh-CN"/>
        </w:rPr>
        <w:t>3.</w:t>
      </w:r>
      <w:r>
        <w:rPr>
          <w:rFonts w:hint="eastAsia" w:ascii="仿宋_GB2312" w:hAnsi="仿宋_GB2312" w:eastAsia="仿宋_GB2312" w:cs="仿宋_GB2312"/>
          <w:color w:val="auto"/>
          <w:spacing w:val="-4"/>
          <w:kern w:val="0"/>
          <w:sz w:val="32"/>
          <w:szCs w:val="32"/>
        </w:rPr>
        <w:t>同一经济行为的审计（清产核资）和资产评估业务，不得交由同一家中介机构或者是有关联关系的中介机构承接</w:t>
      </w:r>
      <w:r>
        <w:rPr>
          <w:rFonts w:hint="eastAsia" w:ascii="仿宋_GB2312" w:hAnsi="仿宋_GB2312" w:eastAsia="仿宋_GB2312" w:cs="仿宋_GB2312"/>
          <w:color w:val="auto"/>
          <w:spacing w:val="-4"/>
          <w:kern w:val="0"/>
          <w:sz w:val="32"/>
          <w:szCs w:val="32"/>
          <w:lang w:eastAsia="zh-CN"/>
        </w:rPr>
        <w:t>；</w:t>
      </w:r>
    </w:p>
    <w:p w14:paraId="148442E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kern w:val="0"/>
          <w:sz w:val="32"/>
          <w:szCs w:val="32"/>
          <w:lang w:val="en-US" w:eastAsia="zh-CN"/>
        </w:rPr>
        <w:t>4.</w:t>
      </w:r>
      <w:r>
        <w:rPr>
          <w:rFonts w:hint="eastAsia" w:ascii="仿宋_GB2312" w:hAnsi="仿宋_GB2312" w:eastAsia="仿宋_GB2312" w:cs="仿宋_GB2312"/>
          <w:color w:val="auto"/>
          <w:sz w:val="32"/>
          <w:szCs w:val="32"/>
        </w:rPr>
        <w:t>个别业务确有原因不能在本企业备选库内选聘的，</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lang w:val="en-US" w:eastAsia="zh-CN"/>
        </w:rPr>
        <w:t>区政府</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lang w:val="en-US" w:eastAsia="zh-CN"/>
        </w:rPr>
        <w:t>区国资办</w:t>
      </w:r>
      <w:r>
        <w:rPr>
          <w:rFonts w:hint="eastAsia" w:ascii="仿宋_GB2312" w:hAnsi="仿宋_GB2312" w:eastAsia="仿宋_GB2312" w:cs="仿宋_GB2312"/>
          <w:color w:val="auto"/>
          <w:sz w:val="32"/>
          <w:szCs w:val="32"/>
          <w:lang w:eastAsia="zh-CN"/>
        </w:rPr>
        <w:t>同意后可</w:t>
      </w:r>
      <w:r>
        <w:rPr>
          <w:rFonts w:hint="eastAsia" w:ascii="仿宋_GB2312" w:hAnsi="仿宋_GB2312" w:eastAsia="仿宋_GB2312" w:cs="仿宋_GB2312"/>
          <w:color w:val="auto"/>
          <w:sz w:val="32"/>
          <w:szCs w:val="32"/>
        </w:rPr>
        <w:t>按本企业规定程序另行选聘。</w:t>
      </w:r>
    </w:p>
    <w:p w14:paraId="5484517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firstLine="624" w:firstLineChars="200"/>
        <w:jc w:val="both"/>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三</w:t>
      </w:r>
      <w:r>
        <w:rPr>
          <w:rFonts w:hint="eastAsia" w:ascii="仿宋_GB2312" w:hAnsi="仿宋_GB2312" w:eastAsia="仿宋_GB2312" w:cs="仿宋_GB2312"/>
          <w:color w:val="auto"/>
          <w:spacing w:val="-4"/>
          <w:kern w:val="0"/>
          <w:sz w:val="32"/>
          <w:szCs w:val="32"/>
          <w:lang w:eastAsia="zh-CN"/>
        </w:rPr>
        <w:t>）委托</w:t>
      </w:r>
      <w:r>
        <w:rPr>
          <w:rFonts w:hint="eastAsia" w:ascii="仿宋_GB2312" w:hAnsi="仿宋_GB2312" w:eastAsia="仿宋_GB2312" w:cs="仿宋_GB2312"/>
          <w:color w:val="auto"/>
          <w:spacing w:val="-4"/>
          <w:kern w:val="0"/>
          <w:sz w:val="32"/>
          <w:szCs w:val="32"/>
        </w:rPr>
        <w:t>单位根据评估项目的规模和评估机构的执</w:t>
      </w:r>
      <w:r>
        <w:rPr>
          <w:rFonts w:hint="eastAsia" w:ascii="仿宋_GB2312" w:hAnsi="仿宋_GB2312" w:eastAsia="仿宋_GB2312" w:cs="仿宋_GB2312"/>
          <w:color w:val="auto"/>
          <w:spacing w:val="-4"/>
          <w:kern w:val="0"/>
          <w:sz w:val="32"/>
          <w:szCs w:val="32"/>
          <w:u w:val="none"/>
        </w:rPr>
        <w:t>业能力选聘，</w:t>
      </w:r>
      <w:r>
        <w:rPr>
          <w:rFonts w:hint="eastAsia" w:ascii="仿宋_GB2312" w:hAnsi="仿宋_GB2312" w:eastAsia="仿宋_GB2312" w:cs="仿宋_GB2312"/>
          <w:color w:val="auto"/>
          <w:kern w:val="2"/>
          <w:sz w:val="32"/>
          <w:szCs w:val="32"/>
          <w:u w:val="none"/>
          <w:lang w:val="en-US" w:eastAsia="zh-CN" w:bidi="ar"/>
        </w:rPr>
        <w:t>原则上采取综合评议选定、抽签选定等选聘方式</w:t>
      </w:r>
      <w:r>
        <w:rPr>
          <w:rFonts w:hint="eastAsia" w:ascii="仿宋_GB2312" w:hAnsi="仿宋_GB2312" w:eastAsia="仿宋_GB2312" w:cs="仿宋_GB2312"/>
          <w:color w:val="auto"/>
          <w:kern w:val="2"/>
          <w:sz w:val="32"/>
          <w:szCs w:val="32"/>
          <w:u w:val="none"/>
          <w:lang w:eastAsia="zh-CN" w:bidi="ar"/>
        </w:rPr>
        <w:t>。预算费用较低</w:t>
      </w:r>
      <w:r>
        <w:rPr>
          <w:rFonts w:hint="eastAsia" w:ascii="仿宋_GB2312" w:hAnsi="仿宋_GB2312" w:eastAsia="仿宋_GB2312" w:cs="仿宋_GB2312"/>
          <w:color w:val="auto"/>
          <w:kern w:val="2"/>
          <w:sz w:val="32"/>
          <w:szCs w:val="32"/>
          <w:lang w:eastAsia="zh-CN" w:bidi="ar"/>
        </w:rPr>
        <w:t>的评估项目，可以采取竞争性谈判、询价方式选聘，具体标准应在</w:t>
      </w:r>
      <w:r>
        <w:rPr>
          <w:rFonts w:hint="eastAsia" w:ascii="仿宋_GB2312" w:hAnsi="仿宋_GB2312" w:eastAsia="仿宋_GB2312" w:cs="仿宋_GB2312"/>
          <w:color w:val="auto"/>
          <w:kern w:val="2"/>
          <w:sz w:val="32"/>
          <w:szCs w:val="32"/>
          <w:lang w:val="en-US" w:eastAsia="zh-CN" w:bidi="ar"/>
        </w:rPr>
        <w:t>区属</w:t>
      </w:r>
      <w:r>
        <w:rPr>
          <w:rFonts w:hint="eastAsia" w:ascii="仿宋_GB2312" w:hAnsi="仿宋_GB2312" w:eastAsia="仿宋_GB2312" w:cs="仿宋_GB2312"/>
          <w:color w:val="auto"/>
          <w:kern w:val="2"/>
          <w:sz w:val="32"/>
          <w:szCs w:val="32"/>
          <w:lang w:eastAsia="zh-CN" w:bidi="ar"/>
        </w:rPr>
        <w:t>国企管理制度中予以明确。</w:t>
      </w:r>
    </w:p>
    <w:p w14:paraId="62FAB15F">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trike/>
          <w:dstrike w:val="0"/>
          <w:color w:val="auto"/>
          <w:kern w:val="2"/>
          <w:sz w:val="32"/>
          <w:szCs w:val="32"/>
          <w:u w:val="none"/>
          <w:lang w:val="en-US" w:eastAsia="zh-CN" w:bidi="ar"/>
        </w:rPr>
      </w:pPr>
      <w:r>
        <w:rPr>
          <w:rFonts w:hint="eastAsia" w:ascii="仿宋_GB2312" w:hAnsi="仿宋_GB2312" w:eastAsia="仿宋_GB2312" w:cs="仿宋_GB2312"/>
          <w:color w:val="auto"/>
          <w:kern w:val="2"/>
          <w:sz w:val="32"/>
          <w:szCs w:val="32"/>
          <w:u w:val="none"/>
          <w:lang w:val="en-US" w:eastAsia="zh-CN" w:bidi="ar"/>
        </w:rPr>
        <w:t>对于采取综合评议选定方式选聘的，</w:t>
      </w:r>
      <w:r>
        <w:rPr>
          <w:rFonts w:hint="eastAsia" w:ascii="仿宋_GB2312" w:hAnsi="仿宋_GB2312" w:eastAsia="仿宋_GB2312" w:cs="仿宋_GB2312"/>
          <w:color w:val="auto"/>
          <w:sz w:val="32"/>
          <w:szCs w:val="32"/>
          <w:u w:val="none"/>
        </w:rPr>
        <w:t>选聘评估机构应当制定选聘文件，明确项目信息、评价要素、评分标准等内容。评价要素至少包括项目团队人员组成及其评估标的相关行业的执业经验、评估工作方案、资源配备、质量控制、费用报价等。其中，费用报价的分值权重不高于15%，费用报价得分=(1-|选聘基准价一费用报价|/选聘基准价)×费用报价所占权重分值，选聘基准价为参与选聘的评估机构费用报价的平均值。</w:t>
      </w:r>
    </w:p>
    <w:p w14:paraId="080A9858">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24"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四</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kern w:val="2"/>
          <w:sz w:val="32"/>
          <w:szCs w:val="32"/>
          <w:lang w:val="en-US" w:eastAsia="zh-CN" w:bidi="ar"/>
        </w:rPr>
        <w:t>有下列情形之一的，经经济行为审批单位批准，可以采取抽签选定方式选择确定评估机构：</w:t>
      </w:r>
    </w:p>
    <w:p w14:paraId="25189AFA">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1.涉及国家机密或重要商业秘密的项目；</w:t>
      </w:r>
    </w:p>
    <w:p w14:paraId="4C040B16">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2.证券期货业务或具体行业特殊规定，对中介机构的资质有特殊要求的项目；</w:t>
      </w:r>
    </w:p>
    <w:p w14:paraId="784AC527">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3.根据浙江省规定的评估收费标准估算，费用在3万元（含）以下的项目；</w:t>
      </w:r>
    </w:p>
    <w:p w14:paraId="63218AA0">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4.</w:t>
      </w:r>
      <w:r>
        <w:rPr>
          <w:rFonts w:hint="eastAsia" w:ascii="仿宋_GB2312" w:hAnsi="仿宋_GB2312" w:eastAsia="仿宋_GB2312" w:cs="仿宋_GB2312"/>
          <w:color w:val="auto"/>
          <w:kern w:val="2"/>
          <w:sz w:val="32"/>
          <w:szCs w:val="32"/>
          <w:lang w:eastAsia="zh-CN" w:bidi="ar"/>
        </w:rPr>
        <w:t>区政府</w:t>
      </w:r>
      <w:r>
        <w:rPr>
          <w:rFonts w:hint="eastAsia" w:ascii="仿宋_GB2312" w:hAnsi="仿宋_GB2312" w:eastAsia="仿宋_GB2312" w:cs="仿宋_GB2312"/>
          <w:color w:val="auto"/>
          <w:kern w:val="2"/>
          <w:sz w:val="32"/>
          <w:szCs w:val="32"/>
          <w:lang w:val="en-US" w:eastAsia="zh-CN" w:bidi="ar"/>
        </w:rPr>
        <w:t>决定</w:t>
      </w:r>
      <w:r>
        <w:rPr>
          <w:rFonts w:hint="eastAsia" w:ascii="仿宋_GB2312" w:hAnsi="仿宋_GB2312" w:eastAsia="仿宋_GB2312" w:cs="仿宋_GB2312"/>
          <w:color w:val="auto"/>
          <w:kern w:val="2"/>
          <w:sz w:val="32"/>
          <w:szCs w:val="32"/>
          <w:lang w:eastAsia="zh-CN" w:bidi="ar"/>
        </w:rPr>
        <w:t>可以抽签选定评估机构的</w:t>
      </w:r>
      <w:r>
        <w:rPr>
          <w:rFonts w:hint="eastAsia" w:ascii="仿宋_GB2312" w:hAnsi="仿宋_GB2312" w:eastAsia="仿宋_GB2312" w:cs="仿宋_GB2312"/>
          <w:color w:val="auto"/>
          <w:kern w:val="2"/>
          <w:sz w:val="32"/>
          <w:szCs w:val="32"/>
          <w:lang w:val="en-US" w:eastAsia="zh-CN" w:bidi="ar"/>
        </w:rPr>
        <w:t>项目；</w:t>
      </w:r>
    </w:p>
    <w:p w14:paraId="10228F7C">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trike/>
          <w:dstrike w:val="0"/>
          <w:color w:val="auto"/>
          <w:spacing w:val="-4"/>
          <w:kern w:val="0"/>
          <w:sz w:val="32"/>
          <w:szCs w:val="32"/>
        </w:rPr>
      </w:pPr>
      <w:r>
        <w:rPr>
          <w:rFonts w:hint="eastAsia" w:ascii="仿宋_GB2312" w:hAnsi="仿宋_GB2312" w:eastAsia="仿宋_GB2312" w:cs="仿宋_GB2312"/>
          <w:color w:val="auto"/>
          <w:kern w:val="2"/>
          <w:sz w:val="32"/>
          <w:szCs w:val="32"/>
          <w:lang w:val="en-US" w:eastAsia="zh-CN" w:bidi="ar"/>
        </w:rPr>
        <w:t>5.其他情况特殊的评估业务。</w:t>
      </w:r>
    </w:p>
    <w:p w14:paraId="1911DF3C">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拟采取抽签选定方式的，选聘企业应当向预选库内所有符合条件的机构发出邀请,机构应聘报名后，组织资产管理、财务、采购等相关部门人员在应聘机构中随机抽取3家，再在其中选择确定1家为中标机构。对少于3家应邀机构的，直接从应邀机构中选择确定1家为中标机构。</w:t>
      </w:r>
    </w:p>
    <w:p w14:paraId="5B363B8C">
      <w:pPr>
        <w:keepNext w:val="0"/>
        <w:keepLines w:val="0"/>
        <w:pageBreakBefore w:val="0"/>
        <w:widowControl w:val="0"/>
        <w:kinsoku/>
        <w:wordWrap/>
        <w:overflowPunct/>
        <w:topLinePunct w:val="0"/>
        <w:autoSpaceDE w:val="0"/>
        <w:autoSpaceDN w:val="0"/>
        <w:bidi w:val="0"/>
        <w:adjustRightInd w:val="0"/>
        <w:snapToGrid w:val="0"/>
        <w:spacing w:line="560" w:lineRule="exact"/>
        <w:ind w:leftChars="0" w:firstLine="624" w:firstLineChars="200"/>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五</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rPr>
        <w:t>参加选聘的评估机构应</w:t>
      </w:r>
      <w:r>
        <w:rPr>
          <w:rFonts w:hint="eastAsia" w:ascii="仿宋_GB2312" w:hAnsi="仿宋_GB2312" w:eastAsia="仿宋_GB2312" w:cs="仿宋_GB2312"/>
          <w:color w:val="auto"/>
          <w:spacing w:val="-4"/>
          <w:kern w:val="0"/>
          <w:sz w:val="32"/>
          <w:szCs w:val="32"/>
          <w:lang w:eastAsia="zh-CN"/>
        </w:rPr>
        <w:t>当</w:t>
      </w:r>
      <w:r>
        <w:rPr>
          <w:rFonts w:hint="eastAsia" w:ascii="仿宋_GB2312" w:hAnsi="仿宋_GB2312" w:eastAsia="仿宋_GB2312" w:cs="仿宋_GB2312"/>
          <w:color w:val="auto"/>
          <w:spacing w:val="-4"/>
          <w:kern w:val="0"/>
          <w:sz w:val="32"/>
          <w:szCs w:val="32"/>
        </w:rPr>
        <w:t xml:space="preserve">按照评估单位的工作要求，提供应聘资料并做出保密承诺，项目报价不得高于申请进入评估中介机构库时承诺价格。 </w:t>
      </w:r>
    </w:p>
    <w:p w14:paraId="5E239302">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六</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rPr>
        <w:t>评估机构应</w:t>
      </w:r>
      <w:r>
        <w:rPr>
          <w:rFonts w:hint="eastAsia" w:ascii="仿宋_GB2312" w:hAnsi="仿宋_GB2312" w:eastAsia="仿宋_GB2312" w:cs="仿宋_GB2312"/>
          <w:color w:val="auto"/>
          <w:spacing w:val="-4"/>
          <w:kern w:val="0"/>
          <w:sz w:val="32"/>
          <w:szCs w:val="32"/>
          <w:lang w:eastAsia="zh-CN"/>
        </w:rPr>
        <w:t>当</w:t>
      </w:r>
      <w:r>
        <w:rPr>
          <w:rFonts w:hint="eastAsia" w:ascii="仿宋_GB2312" w:hAnsi="仿宋_GB2312" w:eastAsia="仿宋_GB2312" w:cs="仿宋_GB2312"/>
          <w:color w:val="auto"/>
          <w:spacing w:val="-4"/>
          <w:kern w:val="0"/>
          <w:sz w:val="32"/>
          <w:szCs w:val="32"/>
        </w:rPr>
        <w:t xml:space="preserve">在接到中聘通知后10个工作日内，与选聘单位签订业务约定书；逾期不签订的，视为弃权。 </w:t>
      </w:r>
    </w:p>
    <w:p w14:paraId="34436220">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jc w:val="both"/>
        <w:rPr>
          <w:rFonts w:hint="eastAsia" w:ascii="黑体" w:hAnsi="黑体" w:eastAsia="黑体" w:cs="黑体"/>
          <w:color w:val="auto"/>
          <w:spacing w:val="-4"/>
          <w:kern w:val="0"/>
          <w:sz w:val="32"/>
          <w:szCs w:val="32"/>
        </w:rPr>
      </w:pPr>
      <w:r>
        <w:rPr>
          <w:rFonts w:hint="eastAsia" w:ascii="黑体" w:hAnsi="黑体" w:eastAsia="黑体" w:cs="黑体"/>
          <w:color w:val="auto"/>
          <w:spacing w:val="-4"/>
          <w:kern w:val="0"/>
          <w:sz w:val="32"/>
          <w:szCs w:val="32"/>
          <w:lang w:val="en-US" w:eastAsia="zh-CN"/>
        </w:rPr>
        <w:t>六、</w:t>
      </w:r>
      <w:r>
        <w:rPr>
          <w:rFonts w:hint="eastAsia" w:ascii="黑体" w:hAnsi="黑体" w:eastAsia="黑体" w:cs="黑体"/>
          <w:color w:val="auto"/>
          <w:spacing w:val="-4"/>
          <w:kern w:val="0"/>
          <w:sz w:val="32"/>
          <w:szCs w:val="32"/>
        </w:rPr>
        <w:t xml:space="preserve">评估核准和备案管理 </w:t>
      </w:r>
    </w:p>
    <w:p w14:paraId="32FA7903">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一</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rPr>
        <w:t>国有资产评估项目实行核准制和备案制。经核准或备案的资产评估结果</w:t>
      </w:r>
      <w:r>
        <w:rPr>
          <w:rFonts w:hint="eastAsia" w:ascii="仿宋_GB2312" w:hAnsi="仿宋_GB2312" w:eastAsia="仿宋_GB2312" w:cs="仿宋_GB2312"/>
          <w:color w:val="auto"/>
          <w:spacing w:val="-4"/>
          <w:kern w:val="0"/>
          <w:sz w:val="32"/>
          <w:szCs w:val="32"/>
          <w:highlight w:val="none"/>
        </w:rPr>
        <w:t>使用有效期为自评估基准日起一年。</w:t>
      </w:r>
      <w:r>
        <w:rPr>
          <w:rFonts w:hint="eastAsia" w:ascii="仿宋_GB2312" w:hAnsi="仿宋_GB2312" w:eastAsia="仿宋_GB2312" w:cs="仿宋_GB2312"/>
          <w:color w:val="auto"/>
          <w:spacing w:val="-4"/>
          <w:kern w:val="0"/>
          <w:sz w:val="32"/>
          <w:szCs w:val="32"/>
        </w:rPr>
        <w:t xml:space="preserve"> </w:t>
      </w:r>
    </w:p>
    <w:p w14:paraId="56B297D2">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二</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strike w:val="0"/>
          <w:color w:val="auto"/>
          <w:spacing w:val="-4"/>
          <w:kern w:val="0"/>
          <w:sz w:val="32"/>
          <w:szCs w:val="32"/>
          <w:lang w:eastAsia="zh-CN"/>
        </w:rPr>
        <w:t>以下</w:t>
      </w:r>
      <w:r>
        <w:rPr>
          <w:rFonts w:hint="eastAsia" w:ascii="仿宋_GB2312" w:hAnsi="仿宋_GB2312" w:eastAsia="仿宋_GB2312" w:cs="仿宋_GB2312"/>
          <w:color w:val="auto"/>
          <w:spacing w:val="-4"/>
          <w:kern w:val="0"/>
          <w:sz w:val="32"/>
          <w:szCs w:val="32"/>
        </w:rPr>
        <w:t>评估项目实行核准制</w:t>
      </w:r>
      <w:r>
        <w:rPr>
          <w:rFonts w:hint="eastAsia" w:ascii="仿宋_GB2312" w:hAnsi="仿宋_GB2312" w:eastAsia="仿宋_GB2312" w:cs="仿宋_GB2312"/>
          <w:color w:val="auto"/>
          <w:spacing w:val="-4"/>
          <w:kern w:val="0"/>
          <w:sz w:val="32"/>
          <w:szCs w:val="32"/>
          <w:lang w:eastAsia="zh-CN"/>
        </w:rPr>
        <w:t>：</w:t>
      </w:r>
    </w:p>
    <w:p w14:paraId="593461D8">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val="en-US" w:eastAsia="zh-CN"/>
        </w:rPr>
        <w:t>1.</w:t>
      </w:r>
      <w:r>
        <w:rPr>
          <w:rFonts w:hint="eastAsia" w:ascii="仿宋_GB2312" w:hAnsi="仿宋_GB2312" w:eastAsia="仿宋_GB2312" w:cs="仿宋_GB2312"/>
          <w:color w:val="auto"/>
          <w:spacing w:val="-4"/>
          <w:kern w:val="0"/>
          <w:sz w:val="32"/>
          <w:szCs w:val="32"/>
        </w:rPr>
        <w:t>经</w:t>
      </w:r>
      <w:r>
        <w:rPr>
          <w:rFonts w:hint="eastAsia" w:ascii="仿宋_GB2312" w:hAnsi="仿宋_GB2312" w:eastAsia="仿宋_GB2312" w:cs="仿宋_GB2312"/>
          <w:color w:val="auto"/>
          <w:spacing w:val="-4"/>
          <w:kern w:val="0"/>
          <w:sz w:val="32"/>
          <w:szCs w:val="32"/>
          <w:lang w:val="en-US" w:eastAsia="zh-CN"/>
        </w:rPr>
        <w:t>区政府</w:t>
      </w:r>
      <w:r>
        <w:rPr>
          <w:rFonts w:hint="eastAsia" w:ascii="仿宋_GB2312" w:hAnsi="仿宋_GB2312" w:eastAsia="仿宋_GB2312" w:cs="仿宋_GB2312"/>
          <w:color w:val="auto"/>
          <w:spacing w:val="-4"/>
          <w:kern w:val="0"/>
          <w:sz w:val="32"/>
          <w:szCs w:val="32"/>
        </w:rPr>
        <w:t>批准的经济行为且合同金额在300万元以上的资产评估项目；</w:t>
      </w:r>
    </w:p>
    <w:p w14:paraId="025EADEB">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val="en-US" w:eastAsia="zh-CN"/>
        </w:rPr>
        <w:t>2.</w:t>
      </w:r>
      <w:r>
        <w:rPr>
          <w:rFonts w:hint="eastAsia" w:ascii="仿宋_GB2312" w:hAnsi="仿宋_GB2312" w:eastAsia="仿宋_GB2312" w:cs="仿宋_GB2312"/>
          <w:color w:val="auto"/>
          <w:spacing w:val="-4"/>
          <w:kern w:val="0"/>
          <w:sz w:val="32"/>
          <w:szCs w:val="32"/>
        </w:rPr>
        <w:t>企业上市涉及的资产评估项目；</w:t>
      </w:r>
    </w:p>
    <w:p w14:paraId="37233D5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val="en-US" w:eastAsia="zh-CN"/>
        </w:rPr>
        <w:t>3.</w:t>
      </w:r>
      <w:r>
        <w:rPr>
          <w:rFonts w:hint="eastAsia" w:ascii="仿宋_GB2312" w:hAnsi="仿宋_GB2312" w:eastAsia="仿宋_GB2312" w:cs="仿宋_GB2312"/>
          <w:color w:val="auto"/>
          <w:spacing w:val="-4"/>
          <w:kern w:val="0"/>
          <w:sz w:val="32"/>
          <w:szCs w:val="32"/>
        </w:rPr>
        <w:t xml:space="preserve">其他需要核准的重要资产评估项目。 </w:t>
      </w:r>
    </w:p>
    <w:p w14:paraId="4136006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三</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rPr>
        <w:t>实行核准管理的资产评估项目，企业应</w:t>
      </w:r>
      <w:r>
        <w:rPr>
          <w:rFonts w:hint="eastAsia" w:ascii="仿宋_GB2312" w:hAnsi="仿宋_GB2312" w:eastAsia="仿宋_GB2312" w:cs="仿宋_GB2312"/>
          <w:color w:val="auto"/>
          <w:spacing w:val="-4"/>
          <w:kern w:val="0"/>
          <w:sz w:val="32"/>
          <w:szCs w:val="32"/>
          <w:lang w:eastAsia="zh-CN"/>
        </w:rPr>
        <w:t>当</w:t>
      </w:r>
      <w:r>
        <w:rPr>
          <w:rFonts w:hint="eastAsia" w:ascii="仿宋_GB2312" w:hAnsi="仿宋_GB2312" w:eastAsia="仿宋_GB2312" w:cs="仿宋_GB2312"/>
          <w:color w:val="auto"/>
          <w:spacing w:val="-4"/>
          <w:kern w:val="0"/>
          <w:sz w:val="32"/>
          <w:szCs w:val="32"/>
        </w:rPr>
        <w:t xml:space="preserve">及时报告资产评估项目的工作进展情况。必要时，核准单位可对该项目进行跟踪了解、指导和检查。 </w:t>
      </w:r>
    </w:p>
    <w:p w14:paraId="6B77C4CB">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四</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rPr>
        <w:t>本办法第</w:t>
      </w:r>
      <w:r>
        <w:rPr>
          <w:rFonts w:hint="eastAsia" w:ascii="仿宋_GB2312" w:hAnsi="仿宋_GB2312" w:eastAsia="仿宋_GB2312" w:cs="仿宋_GB2312"/>
          <w:color w:val="auto"/>
          <w:spacing w:val="-4"/>
          <w:kern w:val="0"/>
          <w:sz w:val="32"/>
          <w:szCs w:val="32"/>
          <w:u w:val="none"/>
          <w:lang w:eastAsia="zh-CN"/>
        </w:rPr>
        <w:t>三十四</w:t>
      </w:r>
      <w:r>
        <w:rPr>
          <w:rFonts w:hint="eastAsia" w:ascii="仿宋_GB2312" w:hAnsi="仿宋_GB2312" w:eastAsia="仿宋_GB2312" w:cs="仿宋_GB2312"/>
          <w:color w:val="auto"/>
          <w:spacing w:val="-4"/>
          <w:kern w:val="0"/>
          <w:sz w:val="32"/>
          <w:szCs w:val="32"/>
          <w:u w:val="none"/>
        </w:rPr>
        <w:t>条</w:t>
      </w:r>
      <w:r>
        <w:rPr>
          <w:rFonts w:hint="eastAsia" w:ascii="仿宋_GB2312" w:hAnsi="仿宋_GB2312" w:eastAsia="仿宋_GB2312" w:cs="仿宋_GB2312"/>
          <w:color w:val="auto"/>
          <w:spacing w:val="-4"/>
          <w:kern w:val="0"/>
          <w:sz w:val="32"/>
          <w:szCs w:val="32"/>
        </w:rPr>
        <w:t>规定的核准项目之外的资产评估项目实行备案管理。</w:t>
      </w:r>
    </w:p>
    <w:p w14:paraId="6B51512A">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五</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rPr>
        <w:t>备案工作实行分级管理。</w:t>
      </w:r>
      <w:r>
        <w:rPr>
          <w:rFonts w:hint="eastAsia" w:ascii="仿宋_GB2312" w:hAnsi="仿宋_GB2312" w:eastAsia="仿宋_GB2312" w:cs="仿宋_GB2312"/>
          <w:strike w:val="0"/>
          <w:dstrike w:val="0"/>
          <w:color w:val="auto"/>
          <w:spacing w:val="-4"/>
          <w:kern w:val="0"/>
          <w:sz w:val="32"/>
          <w:szCs w:val="32"/>
          <w:lang w:eastAsia="zh-CN"/>
        </w:rPr>
        <w:t>根据规定</w:t>
      </w:r>
      <w:r>
        <w:rPr>
          <w:rFonts w:hint="eastAsia" w:ascii="仿宋_GB2312" w:hAnsi="仿宋_GB2312" w:eastAsia="仿宋_GB2312" w:cs="仿宋_GB2312"/>
          <w:color w:val="auto"/>
          <w:spacing w:val="-4"/>
          <w:kern w:val="0"/>
          <w:sz w:val="32"/>
          <w:szCs w:val="32"/>
          <w:lang w:eastAsia="zh-CN"/>
        </w:rPr>
        <w:t>需</w:t>
      </w:r>
      <w:r>
        <w:rPr>
          <w:rFonts w:hint="eastAsia" w:ascii="仿宋_GB2312" w:hAnsi="仿宋_GB2312" w:eastAsia="仿宋_GB2312" w:cs="仿宋_GB2312"/>
          <w:color w:val="auto"/>
          <w:spacing w:val="-4"/>
          <w:kern w:val="0"/>
          <w:sz w:val="32"/>
          <w:szCs w:val="32"/>
          <w:lang w:val="en-US" w:eastAsia="zh-CN"/>
        </w:rPr>
        <w:t>区</w:t>
      </w:r>
      <w:r>
        <w:rPr>
          <w:rFonts w:hint="eastAsia" w:ascii="仿宋_GB2312" w:hAnsi="仿宋_GB2312" w:eastAsia="仿宋_GB2312" w:cs="仿宋_GB2312"/>
          <w:color w:val="auto"/>
          <w:spacing w:val="-4"/>
          <w:kern w:val="0"/>
          <w:sz w:val="32"/>
          <w:szCs w:val="32"/>
          <w:lang w:eastAsia="zh-CN"/>
        </w:rPr>
        <w:t>政府审核</w:t>
      </w:r>
      <w:r>
        <w:rPr>
          <w:rFonts w:hint="eastAsia" w:ascii="仿宋_GB2312" w:hAnsi="仿宋_GB2312" w:eastAsia="仿宋_GB2312" w:cs="仿宋_GB2312"/>
          <w:color w:val="auto"/>
          <w:spacing w:val="-4"/>
          <w:kern w:val="0"/>
          <w:sz w:val="32"/>
          <w:szCs w:val="32"/>
        </w:rPr>
        <w:t>批准的</w:t>
      </w:r>
      <w:r>
        <w:rPr>
          <w:rFonts w:hint="eastAsia" w:ascii="仿宋_GB2312" w:hAnsi="仿宋_GB2312" w:eastAsia="仿宋_GB2312" w:cs="仿宋_GB2312"/>
          <w:color w:val="auto"/>
          <w:spacing w:val="-4"/>
          <w:kern w:val="0"/>
          <w:sz w:val="32"/>
          <w:szCs w:val="32"/>
          <w:lang w:eastAsia="zh-CN"/>
        </w:rPr>
        <w:t>经济行为涉及的</w:t>
      </w:r>
      <w:r>
        <w:rPr>
          <w:rFonts w:hint="eastAsia" w:ascii="仿宋_GB2312" w:hAnsi="仿宋_GB2312" w:eastAsia="仿宋_GB2312" w:cs="仿宋_GB2312"/>
          <w:color w:val="auto"/>
          <w:spacing w:val="-4"/>
          <w:kern w:val="0"/>
          <w:sz w:val="32"/>
          <w:szCs w:val="32"/>
        </w:rPr>
        <w:t>资产评估项目由</w:t>
      </w:r>
      <w:r>
        <w:rPr>
          <w:rFonts w:hint="eastAsia" w:ascii="仿宋_GB2312" w:hAnsi="仿宋_GB2312" w:eastAsia="仿宋_GB2312" w:cs="仿宋_GB2312"/>
          <w:color w:val="auto"/>
          <w:spacing w:val="-4"/>
          <w:kern w:val="0"/>
          <w:sz w:val="32"/>
          <w:szCs w:val="32"/>
          <w:lang w:val="en-US" w:eastAsia="zh-CN"/>
        </w:rPr>
        <w:t>区属</w:t>
      </w:r>
      <w:r>
        <w:rPr>
          <w:rFonts w:hint="eastAsia" w:ascii="仿宋_GB2312" w:hAnsi="仿宋_GB2312" w:eastAsia="仿宋_GB2312" w:cs="仿宋_GB2312"/>
          <w:color w:val="auto"/>
          <w:spacing w:val="-4"/>
          <w:kern w:val="0"/>
          <w:sz w:val="32"/>
          <w:szCs w:val="32"/>
        </w:rPr>
        <w:t>国有企业报</w:t>
      </w:r>
      <w:r>
        <w:rPr>
          <w:rFonts w:hint="eastAsia" w:ascii="仿宋_GB2312" w:hAnsi="仿宋_GB2312" w:eastAsia="仿宋_GB2312" w:cs="仿宋_GB2312"/>
          <w:color w:val="auto"/>
          <w:spacing w:val="-4"/>
          <w:kern w:val="0"/>
          <w:sz w:val="32"/>
          <w:szCs w:val="32"/>
          <w:lang w:val="en-US" w:eastAsia="zh-CN"/>
        </w:rPr>
        <w:t>区国资办</w:t>
      </w:r>
      <w:r>
        <w:rPr>
          <w:rFonts w:hint="eastAsia" w:ascii="仿宋_GB2312" w:hAnsi="仿宋_GB2312" w:eastAsia="仿宋_GB2312" w:cs="仿宋_GB2312"/>
          <w:color w:val="auto"/>
          <w:spacing w:val="-4"/>
          <w:kern w:val="0"/>
          <w:sz w:val="32"/>
          <w:szCs w:val="32"/>
        </w:rPr>
        <w:t>备案，</w:t>
      </w:r>
      <w:r>
        <w:rPr>
          <w:rFonts w:hint="eastAsia" w:ascii="仿宋_GB2312" w:hAnsi="仿宋_GB2312" w:eastAsia="仿宋_GB2312" w:cs="仿宋_GB2312"/>
          <w:color w:val="auto"/>
          <w:spacing w:val="-4"/>
          <w:kern w:val="0"/>
          <w:sz w:val="32"/>
          <w:szCs w:val="32"/>
          <w:lang w:val="en-US" w:eastAsia="zh-CN"/>
        </w:rPr>
        <w:t>区属</w:t>
      </w:r>
      <w:r>
        <w:rPr>
          <w:rFonts w:hint="eastAsia" w:ascii="仿宋_GB2312" w:hAnsi="仿宋_GB2312" w:eastAsia="仿宋_GB2312" w:cs="仿宋_GB2312"/>
          <w:color w:val="auto"/>
          <w:spacing w:val="-4"/>
          <w:kern w:val="0"/>
          <w:sz w:val="32"/>
          <w:szCs w:val="32"/>
        </w:rPr>
        <w:t>国有企业承担相应的审核责任；其他资产评估项目，报</w:t>
      </w:r>
      <w:r>
        <w:rPr>
          <w:rFonts w:hint="eastAsia" w:ascii="仿宋_GB2312" w:hAnsi="仿宋_GB2312" w:eastAsia="仿宋_GB2312" w:cs="仿宋_GB2312"/>
          <w:color w:val="auto"/>
          <w:spacing w:val="-4"/>
          <w:kern w:val="0"/>
          <w:sz w:val="32"/>
          <w:szCs w:val="32"/>
          <w:lang w:val="en-US" w:eastAsia="zh-CN"/>
        </w:rPr>
        <w:t>区属</w:t>
      </w:r>
      <w:r>
        <w:rPr>
          <w:rFonts w:hint="eastAsia" w:ascii="仿宋_GB2312" w:hAnsi="仿宋_GB2312" w:eastAsia="仿宋_GB2312" w:cs="仿宋_GB2312"/>
          <w:color w:val="auto"/>
          <w:spacing w:val="-4"/>
          <w:kern w:val="0"/>
          <w:sz w:val="32"/>
          <w:szCs w:val="32"/>
        </w:rPr>
        <w:t xml:space="preserve">国有企业备案。 </w:t>
      </w:r>
    </w:p>
    <w:p w14:paraId="352C4A6E">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rPr>
        <w:t>评估核准项目实行专家评审制度。专家一致的评审意见是予以核准的必备依据。</w:t>
      </w:r>
    </w:p>
    <w:p w14:paraId="0F7B76A8">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六</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rPr>
        <w:t>有多个国有股东的企业的资产评估项目，经协商一致，可由国有第一大股东依照其产权隶属关系办理核准或备案手</w:t>
      </w:r>
      <w:r>
        <w:rPr>
          <w:rFonts w:hint="eastAsia" w:ascii="仿宋_GB2312" w:hAnsi="仿宋_GB2312" w:eastAsia="仿宋_GB2312" w:cs="仿宋_GB2312"/>
          <w:color w:val="auto"/>
          <w:spacing w:val="-4"/>
          <w:kern w:val="0"/>
          <w:sz w:val="32"/>
          <w:szCs w:val="32"/>
          <w:u w:val="none"/>
        </w:rPr>
        <w:t>续。国有</w:t>
      </w:r>
      <w:r>
        <w:rPr>
          <w:rFonts w:hint="eastAsia" w:ascii="仿宋_GB2312" w:hAnsi="仿宋_GB2312" w:eastAsia="仿宋_GB2312" w:cs="仿宋_GB2312"/>
          <w:color w:val="auto"/>
          <w:spacing w:val="-4"/>
          <w:kern w:val="0"/>
          <w:sz w:val="32"/>
          <w:szCs w:val="32"/>
          <w:u w:val="none"/>
          <w:lang w:eastAsia="zh-CN"/>
        </w:rPr>
        <w:t>股</w:t>
      </w:r>
      <w:r>
        <w:rPr>
          <w:rFonts w:hint="eastAsia" w:ascii="仿宋_GB2312" w:hAnsi="仿宋_GB2312" w:eastAsia="仿宋_GB2312" w:cs="仿宋_GB2312"/>
          <w:color w:val="auto"/>
          <w:spacing w:val="-4"/>
          <w:kern w:val="0"/>
          <w:sz w:val="32"/>
          <w:szCs w:val="32"/>
          <w:u w:val="none"/>
        </w:rPr>
        <w:t>股东持股比例相等的，</w:t>
      </w:r>
      <w:r>
        <w:rPr>
          <w:rFonts w:hint="eastAsia" w:ascii="仿宋_GB2312" w:hAnsi="仿宋_GB2312" w:eastAsia="仿宋_GB2312" w:cs="仿宋_GB2312"/>
          <w:color w:val="auto"/>
          <w:spacing w:val="-4"/>
          <w:kern w:val="0"/>
          <w:sz w:val="32"/>
          <w:szCs w:val="32"/>
        </w:rPr>
        <w:t xml:space="preserve">经协商一致，可由其中一方依照其产权隶属关系办理核准或备案手续。 </w:t>
      </w:r>
    </w:p>
    <w:p w14:paraId="2B7B3E4A">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七</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rPr>
        <w:t>企业核准申请应</w:t>
      </w:r>
      <w:r>
        <w:rPr>
          <w:rFonts w:hint="eastAsia" w:ascii="仿宋_GB2312" w:hAnsi="仿宋_GB2312" w:eastAsia="仿宋_GB2312" w:cs="仿宋_GB2312"/>
          <w:color w:val="auto"/>
          <w:spacing w:val="-4"/>
          <w:kern w:val="0"/>
          <w:sz w:val="32"/>
          <w:szCs w:val="32"/>
          <w:lang w:eastAsia="zh-CN"/>
        </w:rPr>
        <w:t>当</w:t>
      </w:r>
      <w:r>
        <w:rPr>
          <w:rFonts w:hint="eastAsia" w:ascii="仿宋_GB2312" w:hAnsi="仿宋_GB2312" w:eastAsia="仿宋_GB2312" w:cs="仿宋_GB2312"/>
          <w:color w:val="auto"/>
          <w:spacing w:val="-4"/>
          <w:kern w:val="0"/>
          <w:sz w:val="32"/>
          <w:szCs w:val="32"/>
        </w:rPr>
        <w:t>在评估基准日起8个月内，备案申请应</w:t>
      </w:r>
      <w:r>
        <w:rPr>
          <w:rFonts w:hint="eastAsia" w:ascii="仿宋_GB2312" w:hAnsi="仿宋_GB2312" w:eastAsia="仿宋_GB2312" w:cs="仿宋_GB2312"/>
          <w:color w:val="auto"/>
          <w:spacing w:val="-4"/>
          <w:kern w:val="0"/>
          <w:sz w:val="32"/>
          <w:szCs w:val="32"/>
          <w:lang w:eastAsia="zh-CN"/>
        </w:rPr>
        <w:t>当</w:t>
      </w:r>
      <w:r>
        <w:rPr>
          <w:rFonts w:hint="eastAsia" w:ascii="仿宋_GB2312" w:hAnsi="仿宋_GB2312" w:eastAsia="仿宋_GB2312" w:cs="仿宋_GB2312"/>
          <w:color w:val="auto"/>
          <w:spacing w:val="-4"/>
          <w:kern w:val="0"/>
          <w:sz w:val="32"/>
          <w:szCs w:val="32"/>
        </w:rPr>
        <w:t xml:space="preserve">在评估基准日起9个月内按规定的管理权限报核准、备案单位。 </w:t>
      </w:r>
    </w:p>
    <w:p w14:paraId="424D08A2">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rPr>
        <w:t>企业上报前应</w:t>
      </w:r>
      <w:r>
        <w:rPr>
          <w:rFonts w:hint="eastAsia" w:ascii="仿宋_GB2312" w:hAnsi="仿宋_GB2312" w:eastAsia="仿宋_GB2312" w:cs="仿宋_GB2312"/>
          <w:color w:val="auto"/>
          <w:spacing w:val="-4"/>
          <w:kern w:val="0"/>
          <w:sz w:val="32"/>
          <w:szCs w:val="32"/>
          <w:lang w:eastAsia="zh-CN"/>
        </w:rPr>
        <w:t>当</w:t>
      </w:r>
      <w:r>
        <w:rPr>
          <w:rFonts w:hint="eastAsia" w:ascii="仿宋_GB2312" w:hAnsi="仿宋_GB2312" w:eastAsia="仿宋_GB2312" w:cs="仿宋_GB2312"/>
          <w:color w:val="auto"/>
          <w:spacing w:val="-4"/>
          <w:kern w:val="0"/>
          <w:sz w:val="32"/>
          <w:szCs w:val="32"/>
        </w:rPr>
        <w:t>对需要核准或备案的资产评估报告进行审核，并对资产评估报告的合规性承担审核责任；申请核准、备案时应</w:t>
      </w:r>
      <w:r>
        <w:rPr>
          <w:rFonts w:hint="eastAsia" w:ascii="仿宋_GB2312" w:hAnsi="仿宋_GB2312" w:eastAsia="仿宋_GB2312" w:cs="仿宋_GB2312"/>
          <w:color w:val="auto"/>
          <w:spacing w:val="-4"/>
          <w:kern w:val="0"/>
          <w:sz w:val="32"/>
          <w:szCs w:val="32"/>
          <w:lang w:eastAsia="zh-CN"/>
        </w:rPr>
        <w:t>当</w:t>
      </w:r>
      <w:r>
        <w:rPr>
          <w:rFonts w:hint="eastAsia" w:ascii="仿宋_GB2312" w:hAnsi="仿宋_GB2312" w:eastAsia="仿宋_GB2312" w:cs="仿宋_GB2312"/>
          <w:color w:val="auto"/>
          <w:spacing w:val="-4"/>
          <w:kern w:val="0"/>
          <w:sz w:val="32"/>
          <w:szCs w:val="32"/>
        </w:rPr>
        <w:t xml:space="preserve">如实提供相关评估材料，并对资料的真实性、完整性和有效性承担相应的法律责任。 </w:t>
      </w:r>
    </w:p>
    <w:p w14:paraId="7D8AE612">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b w:val="0"/>
          <w:bCs w:val="0"/>
          <w:color w:val="auto"/>
          <w:spacing w:val="-4"/>
          <w:kern w:val="0"/>
          <w:sz w:val="32"/>
          <w:szCs w:val="32"/>
          <w:u w:val="none"/>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八</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b w:val="0"/>
          <w:bCs w:val="0"/>
          <w:color w:val="auto"/>
          <w:spacing w:val="-4"/>
          <w:kern w:val="0"/>
          <w:sz w:val="32"/>
          <w:szCs w:val="32"/>
          <w:u w:val="none"/>
        </w:rPr>
        <w:t xml:space="preserve">资产评估项目核准文件、资产评估项目备案表是实施对应经济行为的必备文件。 </w:t>
      </w:r>
    </w:p>
    <w:p w14:paraId="53D3D05E">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b w:val="0"/>
          <w:bCs w:val="0"/>
          <w:color w:val="auto"/>
          <w:spacing w:val="-4"/>
          <w:kern w:val="0"/>
          <w:sz w:val="32"/>
          <w:szCs w:val="32"/>
          <w:u w:val="none"/>
          <w:lang w:eastAsia="zh-CN"/>
        </w:rPr>
      </w:pPr>
      <w:r>
        <w:rPr>
          <w:rFonts w:hint="eastAsia" w:ascii="仿宋_GB2312" w:hAnsi="仿宋_GB2312" w:eastAsia="仿宋_GB2312" w:cs="仿宋_GB2312"/>
          <w:b w:val="0"/>
          <w:bCs w:val="0"/>
          <w:color w:val="auto"/>
          <w:spacing w:val="-4"/>
          <w:kern w:val="0"/>
          <w:sz w:val="32"/>
          <w:szCs w:val="32"/>
          <w:u w:val="none"/>
          <w:lang w:val="en-US" w:eastAsia="zh-CN"/>
        </w:rPr>
        <w:t>区属</w:t>
      </w:r>
      <w:r>
        <w:rPr>
          <w:rFonts w:hint="eastAsia" w:ascii="仿宋_GB2312" w:hAnsi="仿宋_GB2312" w:eastAsia="仿宋_GB2312" w:cs="仿宋_GB2312"/>
          <w:b w:val="0"/>
          <w:bCs w:val="0"/>
          <w:color w:val="auto"/>
          <w:spacing w:val="-4"/>
          <w:kern w:val="0"/>
          <w:sz w:val="32"/>
          <w:szCs w:val="32"/>
          <w:u w:val="none"/>
        </w:rPr>
        <w:t>国有企业实施本办法第五条规定的行为时，应当以经核准或备案的资产评估结果作为作价参考依据</w:t>
      </w:r>
      <w:r>
        <w:rPr>
          <w:rFonts w:hint="eastAsia" w:ascii="仿宋_GB2312" w:hAnsi="仿宋_GB2312" w:eastAsia="仿宋_GB2312" w:cs="仿宋_GB2312"/>
          <w:b w:val="0"/>
          <w:bCs w:val="0"/>
          <w:color w:val="auto"/>
          <w:spacing w:val="-4"/>
          <w:sz w:val="32"/>
          <w:szCs w:val="32"/>
          <w:u w:val="none"/>
        </w:rPr>
        <w:t>，</w:t>
      </w:r>
      <w:r>
        <w:rPr>
          <w:rFonts w:hint="eastAsia" w:ascii="仿宋_GB2312" w:hAnsi="仿宋_GB2312" w:eastAsia="仿宋_GB2312" w:cs="仿宋_GB2312"/>
          <w:b w:val="0"/>
          <w:bCs w:val="0"/>
          <w:color w:val="auto"/>
          <w:sz w:val="32"/>
          <w:szCs w:val="32"/>
          <w:u w:val="none"/>
        </w:rPr>
        <w:t>并结合经济行为目的、协同效应、交易双方谈判情况等合理确定交易价格</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pacing w:val="-4"/>
          <w:sz w:val="32"/>
          <w:szCs w:val="32"/>
          <w:u w:val="none"/>
        </w:rPr>
        <w:t>未经核准或备案的资产评估结果不得使用</w:t>
      </w:r>
      <w:r>
        <w:rPr>
          <w:rFonts w:hint="eastAsia" w:ascii="仿宋_GB2312" w:hAnsi="仿宋_GB2312" w:eastAsia="仿宋_GB2312" w:cs="仿宋_GB2312"/>
          <w:b w:val="0"/>
          <w:bCs w:val="0"/>
          <w:color w:val="auto"/>
          <w:spacing w:val="-4"/>
          <w:kern w:val="0"/>
          <w:sz w:val="32"/>
          <w:szCs w:val="32"/>
          <w:u w:val="none"/>
        </w:rPr>
        <w:t>；</w:t>
      </w:r>
      <w:r>
        <w:rPr>
          <w:rFonts w:hint="eastAsia" w:ascii="仿宋_GB2312" w:hAnsi="仿宋_GB2312" w:eastAsia="仿宋_GB2312" w:cs="仿宋_GB2312"/>
          <w:b w:val="0"/>
          <w:bCs w:val="0"/>
          <w:color w:val="auto"/>
          <w:sz w:val="32"/>
          <w:szCs w:val="32"/>
          <w:u w:val="none"/>
        </w:rPr>
        <w:t>企业对外转让标的价格低于评估结果90%、对外收购标的价格高于评估结果110%时，应当经经济行为批准单位充分论证合理性并书面同意后继续交易。作价参考依据为估值区间的，交易价格应当在估值区间内。</w:t>
      </w:r>
      <w:r>
        <w:rPr>
          <w:rFonts w:hint="eastAsia" w:ascii="仿宋_GB2312" w:hAnsi="仿宋_GB2312" w:eastAsia="仿宋_GB2312" w:cs="仿宋_GB2312"/>
          <w:b w:val="0"/>
          <w:bCs w:val="0"/>
          <w:color w:val="auto"/>
          <w:spacing w:val="-4"/>
          <w:kern w:val="0"/>
          <w:sz w:val="32"/>
          <w:szCs w:val="32"/>
          <w:u w:val="none"/>
          <w:lang w:val="en-US" w:eastAsia="zh-CN"/>
        </w:rPr>
        <w:t>区属</w:t>
      </w:r>
      <w:r>
        <w:rPr>
          <w:rFonts w:hint="eastAsia" w:ascii="仿宋_GB2312" w:hAnsi="仿宋_GB2312" w:eastAsia="仿宋_GB2312" w:cs="仿宋_GB2312"/>
          <w:b w:val="0"/>
          <w:bCs w:val="0"/>
          <w:color w:val="auto"/>
          <w:spacing w:val="-4"/>
          <w:kern w:val="0"/>
          <w:sz w:val="32"/>
          <w:szCs w:val="32"/>
          <w:u w:val="none"/>
          <w:lang w:eastAsia="zh-CN"/>
        </w:rPr>
        <w:t>国有企业进场交易的租赁项目，挂牌价格调整可按进场交易有关规定执行。</w:t>
      </w:r>
    </w:p>
    <w:p w14:paraId="2CC8230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60" w:lineRule="exact"/>
        <w:ind w:left="0" w:leftChars="0" w:right="0" w:firstLine="624"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九</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sz w:val="32"/>
          <w:szCs w:val="32"/>
          <w:highlight w:val="none"/>
        </w:rPr>
        <w:t>评估报告审核内容一般包括：</w:t>
      </w:r>
    </w:p>
    <w:p w14:paraId="42BC49FA">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资产评估项目所涉经济行为是否获得批准；</w:t>
      </w:r>
    </w:p>
    <w:p w14:paraId="7F4EE01D">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资产评估机构是否具备相应资质</w:t>
      </w:r>
      <w:r>
        <w:rPr>
          <w:rFonts w:hint="eastAsia" w:ascii="仿宋_GB2312" w:hAnsi="仿宋_GB2312" w:eastAsia="仿宋_GB2312" w:cs="仿宋_GB2312"/>
          <w:sz w:val="32"/>
          <w:szCs w:val="32"/>
          <w:highlight w:val="none"/>
          <w:lang w:eastAsia="zh-CN"/>
        </w:rPr>
        <w:t>，机构选聘是否符合要求，</w:t>
      </w:r>
      <w:r>
        <w:rPr>
          <w:rFonts w:hint="eastAsia" w:ascii="仿宋_GB2312" w:hAnsi="仿宋_GB2312" w:eastAsia="仿宋_GB2312" w:cs="仿宋_GB2312"/>
          <w:sz w:val="32"/>
          <w:szCs w:val="32"/>
          <w:highlight w:val="none"/>
        </w:rPr>
        <w:t>评估人员是否具备相应从业资格；</w:t>
      </w:r>
    </w:p>
    <w:p w14:paraId="4014A2AA">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评估基准日的选择是否适当，评估结论的使用有效期是否明示；</w:t>
      </w:r>
    </w:p>
    <w:p w14:paraId="5C3AE1EB">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资产评估范围与经济行为批准文件确定的资产范围是否一致；</w:t>
      </w:r>
    </w:p>
    <w:p w14:paraId="7DEEAAA1">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评估依据是否适当；</w:t>
      </w:r>
    </w:p>
    <w:p w14:paraId="0167A702">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企业是否就所提供的</w:t>
      </w:r>
      <w:r>
        <w:rPr>
          <w:rFonts w:hint="eastAsia" w:ascii="仿宋_GB2312" w:hAnsi="仿宋_GB2312" w:eastAsia="仿宋_GB2312" w:cs="仿宋_GB2312"/>
          <w:sz w:val="32"/>
          <w:szCs w:val="32"/>
          <w:highlight w:val="none"/>
          <w:lang w:eastAsia="zh-CN"/>
        </w:rPr>
        <w:t>评估资料的</w:t>
      </w:r>
      <w:r>
        <w:rPr>
          <w:rFonts w:hint="eastAsia" w:ascii="仿宋_GB2312" w:hAnsi="仿宋_GB2312" w:eastAsia="仿宋_GB2312" w:cs="仿宋_GB2312"/>
          <w:sz w:val="32"/>
          <w:szCs w:val="32"/>
          <w:highlight w:val="none"/>
        </w:rPr>
        <w:t>真实性、合法性和完整性做出承诺；</w:t>
      </w:r>
    </w:p>
    <w:p w14:paraId="69C5C7A9">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评估方法的选择</w:t>
      </w:r>
      <w:r>
        <w:rPr>
          <w:rFonts w:hint="eastAsia" w:ascii="仿宋_GB2312" w:hAnsi="仿宋_GB2312" w:eastAsia="仿宋_GB2312" w:cs="仿宋_GB2312"/>
          <w:sz w:val="32"/>
          <w:szCs w:val="32"/>
          <w:highlight w:val="none"/>
          <w:lang w:eastAsia="zh-CN"/>
        </w:rPr>
        <w:t>是否合理，</w:t>
      </w:r>
      <w:r>
        <w:rPr>
          <w:rFonts w:hint="eastAsia" w:ascii="仿宋_GB2312" w:hAnsi="仿宋_GB2312" w:eastAsia="仿宋_GB2312" w:cs="仿宋_GB2312"/>
          <w:color w:val="auto"/>
          <w:kern w:val="0"/>
          <w:sz w:val="32"/>
          <w:szCs w:val="32"/>
          <w:highlight w:val="none"/>
          <w:lang w:val="en-US" w:eastAsia="zh-CN" w:bidi="ar"/>
        </w:rPr>
        <w:t>涉及企业价值的资产评估项目，以持续经营为前提进行评估时，原则上要求采用两种以上方法进行评估，并在评估报告中列示；</w:t>
      </w:r>
    </w:p>
    <w:p w14:paraId="7882CAE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60" w:lineRule="exact"/>
        <w:ind w:leftChars="0" w:right="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评估过程、步骤是否符合相关评估准则及规范性文件的要求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
        </w:rPr>
        <w:t>评估过程中参数选取是否合理等</w:t>
      </w:r>
      <w:r>
        <w:rPr>
          <w:rFonts w:hint="eastAsia" w:ascii="仿宋_GB2312" w:hAnsi="仿宋_GB2312" w:eastAsia="仿宋_GB2312" w:cs="仿宋_GB2312"/>
          <w:sz w:val="32"/>
          <w:szCs w:val="32"/>
          <w:highlight w:val="none"/>
        </w:rPr>
        <w:t>；</w:t>
      </w:r>
    </w:p>
    <w:p w14:paraId="755B574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60" w:lineRule="exact"/>
        <w:ind w:leftChars="0" w:right="0"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评估机构是否按照投标书和业务约定书承诺与规定的要求开展资产评估工作；</w:t>
      </w:r>
    </w:p>
    <w:p w14:paraId="4E3C7F9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60" w:lineRule="exact"/>
        <w:ind w:leftChars="0" w:right="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其他需审核的事项。</w:t>
      </w:r>
    </w:p>
    <w:p w14:paraId="2A9D454D">
      <w:pPr>
        <w:keepNext w:val="0"/>
        <w:keepLines w:val="0"/>
        <w:pageBreakBefore w:val="0"/>
        <w:widowControl w:val="0"/>
        <w:kinsoku/>
        <w:wordWrap/>
        <w:overflowPunct/>
        <w:topLinePunct w:val="0"/>
        <w:autoSpaceDE/>
        <w:autoSpaceDN/>
        <w:bidi w:val="0"/>
        <w:adjustRightInd/>
        <w:snapToGrid/>
        <w:spacing w:line="560" w:lineRule="exact"/>
        <w:ind w:leftChars="0" w:firstLine="624" w:firstLineChars="200"/>
        <w:textAlignment w:val="auto"/>
        <w:rPr>
          <w:rFonts w:hint="eastAsia" w:ascii="仿宋_GB2312" w:hAnsi="仿宋_GB2312" w:eastAsia="仿宋_GB2312" w:cs="仿宋_GB2312"/>
          <w:color w:val="auto"/>
          <w:spacing w:val="-4"/>
          <w:kern w:val="0"/>
          <w:sz w:val="32"/>
          <w:szCs w:val="32"/>
          <w:u w:val="none"/>
          <w:lang w:val="en-US" w:eastAsia="zh-CN"/>
        </w:rPr>
      </w:pPr>
      <w:r>
        <w:rPr>
          <w:rFonts w:hint="eastAsia" w:ascii="仿宋_GB2312" w:hAnsi="仿宋_GB2312" w:eastAsia="仿宋_GB2312" w:cs="仿宋_GB2312"/>
          <w:color w:val="auto"/>
          <w:spacing w:val="-4"/>
          <w:kern w:val="0"/>
          <w:sz w:val="32"/>
          <w:szCs w:val="32"/>
          <w:u w:val="none"/>
          <w:lang w:val="en-US" w:eastAsia="zh-CN"/>
        </w:rPr>
        <w:t>(十）</w:t>
      </w:r>
      <w:r>
        <w:rPr>
          <w:rFonts w:hint="eastAsia" w:ascii="仿宋_GB2312" w:hAnsi="仿宋_GB2312" w:eastAsia="仿宋_GB2312" w:cs="仿宋_GB2312"/>
          <w:color w:val="auto"/>
          <w:sz w:val="32"/>
          <w:szCs w:val="32"/>
          <w:u w:val="none"/>
        </w:rPr>
        <w:t>企业应当对资产评估项目实施分类管理，综合考虑评估目的、评估标的资产规模、评估标的特点等因素，合理确定本集团重大资产评估项目划分标准，原则上，企业对外并购股权项目应纳入重大资产评估项目。企业应当研究制定重大资产评估项目管理制度或修订现行资产评估管理制度，并报送</w:t>
      </w:r>
      <w:r>
        <w:rPr>
          <w:rFonts w:hint="eastAsia" w:ascii="仿宋_GB2312" w:hAnsi="仿宋_GB2312" w:eastAsia="仿宋_GB2312" w:cs="仿宋_GB2312"/>
          <w:color w:val="auto"/>
          <w:sz w:val="32"/>
          <w:szCs w:val="32"/>
          <w:u w:val="none"/>
          <w:lang w:val="en-US" w:eastAsia="zh-CN"/>
        </w:rPr>
        <w:t>区国资办</w:t>
      </w:r>
      <w:r>
        <w:rPr>
          <w:rFonts w:hint="eastAsia" w:ascii="仿宋_GB2312" w:hAnsi="仿宋_GB2312" w:eastAsia="仿宋_GB2312" w:cs="仿宋_GB2312"/>
          <w:color w:val="auto"/>
          <w:sz w:val="32"/>
          <w:szCs w:val="32"/>
          <w:u w:val="none"/>
        </w:rPr>
        <w:t>。</w:t>
      </w:r>
    </w:p>
    <w:p w14:paraId="7A2A066C">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kern w:val="0"/>
          <w:sz w:val="32"/>
          <w:szCs w:val="32"/>
          <w:highlight w:val="none"/>
          <w:u w:val="none"/>
          <w:lang w:eastAsia="zh-CN" w:bidi="ar"/>
        </w:rPr>
      </w:pPr>
      <w:r>
        <w:rPr>
          <w:rFonts w:hint="eastAsia" w:ascii="仿宋_GB2312" w:hAnsi="仿宋_GB2312" w:eastAsia="仿宋_GB2312" w:cs="仿宋_GB2312"/>
          <w:color w:val="auto"/>
          <w:sz w:val="32"/>
          <w:szCs w:val="32"/>
          <w:u w:val="none"/>
          <w:lang w:val="en-US" w:eastAsia="zh-CN"/>
        </w:rPr>
        <w:t>区属</w:t>
      </w:r>
      <w:r>
        <w:rPr>
          <w:rFonts w:hint="eastAsia" w:ascii="仿宋_GB2312" w:hAnsi="仿宋_GB2312" w:eastAsia="仿宋_GB2312" w:cs="仿宋_GB2312"/>
          <w:color w:val="auto"/>
          <w:sz w:val="32"/>
          <w:szCs w:val="32"/>
          <w:u w:val="none"/>
          <w:lang w:eastAsia="zh-CN"/>
        </w:rPr>
        <w:t>国有企业</w:t>
      </w:r>
      <w:r>
        <w:rPr>
          <w:rFonts w:hint="eastAsia" w:ascii="仿宋_GB2312" w:hAnsi="仿宋_GB2312" w:eastAsia="仿宋_GB2312" w:cs="仿宋_GB2312"/>
          <w:color w:val="auto"/>
          <w:sz w:val="32"/>
          <w:szCs w:val="32"/>
          <w:u w:val="none"/>
        </w:rPr>
        <w:t>资产评估管理工作人员应当参与重大资产评估项目涉及的经济行为研究论证、尽职调查结果审核(如有)、评估机构选聘等。必要时，可进行全程跟踪。</w:t>
      </w:r>
    </w:p>
    <w:p w14:paraId="14E4D2DB">
      <w:pPr>
        <w:keepNext w:val="0"/>
        <w:keepLines w:val="0"/>
        <w:pageBreakBefore w:val="0"/>
        <w:widowControl w:val="0"/>
        <w:suppressLineNumbers w:val="0"/>
        <w:kinsoku/>
        <w:wordWrap/>
        <w:overflowPunct w:val="0"/>
        <w:topLinePunct w:val="0"/>
        <w:bidi w:val="0"/>
        <w:adjustRightInd w:val="0"/>
        <w:snapToGrid w:val="0"/>
        <w:spacing w:before="0" w:beforeAutospacing="0" w:after="0" w:afterAutospacing="0" w:line="560" w:lineRule="exact"/>
        <w:ind w:left="0" w:leftChars="0" w:right="0" w:firstLine="62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kern w:val="0"/>
          <w:sz w:val="32"/>
          <w:szCs w:val="32"/>
          <w:u w:val="none"/>
          <w:lang w:val="en-US" w:eastAsia="zh-CN"/>
        </w:rPr>
        <w:t>(十一）</w:t>
      </w:r>
      <w:r>
        <w:rPr>
          <w:rFonts w:hint="eastAsia" w:ascii="仿宋_GB2312" w:hAnsi="仿宋_GB2312" w:eastAsia="仿宋_GB2312" w:cs="仿宋_GB2312"/>
          <w:color w:val="auto"/>
          <w:kern w:val="0"/>
          <w:sz w:val="32"/>
          <w:szCs w:val="32"/>
          <w:highlight w:val="none"/>
          <w:lang w:val="en-US" w:eastAsia="zh-CN" w:bidi="ar"/>
        </w:rPr>
        <w:t>区属国有企业应当建立重大资产评估项目专家评审制度，明确评审专家的产生和评审项目范围、评审内容及评审程序等。根据评估项目重要性、复杂程度和风险大小等因素确定专家数量及人选，评审专家一般由3人以上（包含3人）组成，且应当确保独立的外部专家占多数。评审专家应当在评审意见上签名，对评审意见负责，达成一致意见的评审意见是进行重要资产评估项目核准备案的必备依据。</w:t>
      </w:r>
    </w:p>
    <w:p w14:paraId="7F8A591A">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企业备案重大资产评估项目过程中，如在评估方法、评估模型、重要参数选取以及其他可能对评估结论产生重大影响的特殊事项处理等方面遇到问题，可以书面向</w:t>
      </w:r>
      <w:r>
        <w:rPr>
          <w:rFonts w:hint="eastAsia" w:ascii="仿宋_GB2312" w:hAnsi="仿宋_GB2312" w:eastAsia="仿宋_GB2312" w:cs="仿宋_GB2312"/>
          <w:color w:val="auto"/>
          <w:sz w:val="32"/>
          <w:szCs w:val="32"/>
          <w:u w:val="none"/>
          <w:lang w:val="en-US" w:eastAsia="zh-CN"/>
        </w:rPr>
        <w:t>区国资办</w:t>
      </w:r>
      <w:r>
        <w:rPr>
          <w:rFonts w:hint="eastAsia" w:ascii="仿宋_GB2312" w:hAnsi="仿宋_GB2312" w:eastAsia="仿宋_GB2312" w:cs="仿宋_GB2312"/>
          <w:color w:val="auto"/>
          <w:sz w:val="32"/>
          <w:szCs w:val="32"/>
          <w:u w:val="none"/>
        </w:rPr>
        <w:t>申请推荐专家进行论证。必要时，</w:t>
      </w:r>
      <w:r>
        <w:rPr>
          <w:rFonts w:hint="eastAsia" w:ascii="仿宋_GB2312" w:hAnsi="仿宋_GB2312" w:eastAsia="仿宋_GB2312" w:cs="仿宋_GB2312"/>
          <w:color w:val="auto"/>
          <w:sz w:val="32"/>
          <w:szCs w:val="32"/>
          <w:u w:val="none"/>
          <w:lang w:val="en-US" w:eastAsia="zh-CN"/>
        </w:rPr>
        <w:t>区国资办</w:t>
      </w:r>
      <w:r>
        <w:rPr>
          <w:rFonts w:hint="eastAsia" w:ascii="仿宋_GB2312" w:hAnsi="仿宋_GB2312" w:eastAsia="仿宋_GB2312" w:cs="仿宋_GB2312"/>
          <w:color w:val="auto"/>
          <w:sz w:val="32"/>
          <w:szCs w:val="32"/>
          <w:u w:val="none"/>
        </w:rPr>
        <w:t>加强对项目的业务指导。</w:t>
      </w:r>
    </w:p>
    <w:p w14:paraId="66738E4B">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重大资产评估项目完成备案后，</w:t>
      </w:r>
      <w:r>
        <w:rPr>
          <w:rFonts w:hint="eastAsia" w:ascii="仿宋_GB2312" w:hAnsi="仿宋_GB2312" w:eastAsia="仿宋_GB2312" w:cs="仿宋_GB2312"/>
          <w:color w:val="auto"/>
          <w:sz w:val="32"/>
          <w:szCs w:val="32"/>
          <w:u w:val="none"/>
          <w:lang w:val="en-US" w:eastAsia="zh-CN"/>
        </w:rPr>
        <w:t>区属</w:t>
      </w:r>
      <w:r>
        <w:rPr>
          <w:rFonts w:hint="eastAsia" w:ascii="仿宋_GB2312" w:hAnsi="仿宋_GB2312" w:eastAsia="仿宋_GB2312" w:cs="仿宋_GB2312"/>
          <w:color w:val="auto"/>
          <w:sz w:val="32"/>
          <w:szCs w:val="32"/>
          <w:u w:val="none"/>
          <w:lang w:eastAsia="zh-CN"/>
        </w:rPr>
        <w:t>国有企业</w:t>
      </w:r>
      <w:r>
        <w:rPr>
          <w:rFonts w:hint="eastAsia" w:ascii="仿宋_GB2312" w:hAnsi="仿宋_GB2312" w:eastAsia="仿宋_GB2312" w:cs="仿宋_GB2312"/>
          <w:color w:val="auto"/>
          <w:sz w:val="32"/>
          <w:szCs w:val="32"/>
          <w:u w:val="none"/>
        </w:rPr>
        <w:t>和评估机构委托方资产评估管理工作人员以及参与项目评审的专家应当根据本通知所附评估机构执业质量评价表，对评估机构执业质量进行评价。评价结果作为后续优化调整评估机构备选库和选聘评估机构的重要参考依据之一。</w:t>
      </w:r>
    </w:p>
    <w:p w14:paraId="4D62FAE4">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jc w:val="both"/>
        <w:rPr>
          <w:rFonts w:hint="eastAsia" w:ascii="黑体" w:hAnsi="黑体" w:eastAsia="黑体" w:cs="黑体"/>
          <w:color w:val="auto"/>
          <w:spacing w:val="-4"/>
          <w:kern w:val="0"/>
          <w:sz w:val="32"/>
          <w:szCs w:val="32"/>
          <w:lang w:eastAsia="zh-CN"/>
        </w:rPr>
      </w:pPr>
      <w:r>
        <w:rPr>
          <w:rFonts w:hint="eastAsia" w:ascii="黑体" w:hAnsi="黑体" w:eastAsia="黑体" w:cs="黑体"/>
          <w:color w:val="auto"/>
          <w:spacing w:val="-4"/>
          <w:kern w:val="0"/>
          <w:sz w:val="32"/>
          <w:szCs w:val="32"/>
          <w:lang w:val="en-US" w:eastAsia="zh-CN"/>
        </w:rPr>
        <w:t>七、</w:t>
      </w:r>
      <w:r>
        <w:rPr>
          <w:rFonts w:hint="eastAsia" w:ascii="黑体" w:hAnsi="黑体" w:eastAsia="黑体" w:cs="黑体"/>
          <w:color w:val="auto"/>
          <w:spacing w:val="-4"/>
          <w:kern w:val="0"/>
          <w:sz w:val="32"/>
          <w:szCs w:val="32"/>
          <w:lang w:eastAsia="zh-CN"/>
        </w:rPr>
        <w:t xml:space="preserve">监督管理及责任追究 </w:t>
      </w:r>
    </w:p>
    <w:p w14:paraId="4C49C20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一</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区国资办</w:t>
      </w:r>
      <w:r>
        <w:rPr>
          <w:rFonts w:hint="eastAsia" w:ascii="仿宋_GB2312" w:hAnsi="仿宋_GB2312" w:eastAsia="仿宋_GB2312" w:cs="仿宋_GB2312"/>
          <w:color w:val="auto"/>
          <w:spacing w:val="-4"/>
          <w:kern w:val="0"/>
          <w:sz w:val="32"/>
          <w:szCs w:val="32"/>
        </w:rPr>
        <w:t>建立资产评估工作监督检查机制，定期或不定期对企业</w:t>
      </w:r>
      <w:r>
        <w:rPr>
          <w:rFonts w:hint="eastAsia" w:ascii="仿宋_GB2312" w:hAnsi="仿宋_GB2312" w:eastAsia="仿宋_GB2312" w:cs="仿宋_GB2312"/>
          <w:color w:val="auto"/>
          <w:spacing w:val="-4"/>
          <w:kern w:val="0"/>
          <w:sz w:val="32"/>
          <w:szCs w:val="32"/>
          <w:lang w:eastAsia="zh-CN"/>
        </w:rPr>
        <w:t>评估管理工作和</w:t>
      </w:r>
      <w:r>
        <w:rPr>
          <w:rFonts w:hint="eastAsia" w:ascii="仿宋_GB2312" w:hAnsi="仿宋_GB2312" w:eastAsia="仿宋_GB2312" w:cs="仿宋_GB2312"/>
          <w:color w:val="auto"/>
          <w:spacing w:val="-4"/>
          <w:kern w:val="0"/>
          <w:sz w:val="32"/>
          <w:szCs w:val="32"/>
        </w:rPr>
        <w:t>国有资产评估项目进行检查，</w:t>
      </w:r>
      <w:r>
        <w:rPr>
          <w:rFonts w:hint="eastAsia" w:ascii="仿宋_GB2312" w:hAnsi="仿宋_GB2312" w:eastAsia="仿宋_GB2312" w:cs="仿宋_GB2312"/>
          <w:strike w:val="0"/>
          <w:dstrike w:val="0"/>
          <w:color w:val="auto"/>
          <w:spacing w:val="-4"/>
          <w:kern w:val="0"/>
          <w:sz w:val="32"/>
          <w:szCs w:val="32"/>
        </w:rPr>
        <w:t>必要时，可组织专家对抽查的资产评估项目进行审核</w:t>
      </w:r>
      <w:r>
        <w:rPr>
          <w:rFonts w:hint="eastAsia" w:ascii="仿宋_GB2312" w:hAnsi="仿宋_GB2312" w:eastAsia="仿宋_GB2312" w:cs="仿宋_GB2312"/>
          <w:color w:val="auto"/>
          <w:spacing w:val="-4"/>
          <w:kern w:val="0"/>
          <w:sz w:val="32"/>
          <w:szCs w:val="32"/>
        </w:rPr>
        <w:t>。相关企业、机构应当</w:t>
      </w:r>
      <w:r>
        <w:rPr>
          <w:rFonts w:hint="eastAsia" w:ascii="仿宋_GB2312" w:hAnsi="仿宋_GB2312" w:eastAsia="仿宋_GB2312" w:cs="仿宋_GB2312"/>
          <w:color w:val="auto"/>
          <w:spacing w:val="-4"/>
          <w:kern w:val="0"/>
          <w:sz w:val="32"/>
          <w:szCs w:val="32"/>
          <w:lang w:eastAsia="zh-CN"/>
        </w:rPr>
        <w:t>做好企业国有资产评估工作的自查和</w:t>
      </w:r>
      <w:r>
        <w:rPr>
          <w:rFonts w:hint="eastAsia" w:ascii="仿宋_GB2312" w:hAnsi="仿宋_GB2312" w:eastAsia="仿宋_GB2312" w:cs="仿宋_GB2312"/>
          <w:strike w:val="0"/>
          <w:dstrike w:val="0"/>
          <w:color w:val="auto"/>
          <w:spacing w:val="-4"/>
          <w:kern w:val="0"/>
          <w:sz w:val="32"/>
          <w:szCs w:val="32"/>
          <w:lang w:eastAsia="zh-CN"/>
        </w:rPr>
        <w:t>相关</w:t>
      </w:r>
      <w:r>
        <w:rPr>
          <w:rFonts w:hint="eastAsia" w:ascii="仿宋_GB2312" w:hAnsi="仿宋_GB2312" w:eastAsia="仿宋_GB2312" w:cs="仿宋_GB2312"/>
          <w:color w:val="auto"/>
          <w:spacing w:val="-4"/>
          <w:kern w:val="0"/>
          <w:sz w:val="32"/>
          <w:szCs w:val="32"/>
        </w:rPr>
        <w:t xml:space="preserve">配合工作。 </w:t>
      </w:r>
    </w:p>
    <w:p w14:paraId="3D094B7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kern w:val="0"/>
          <w:sz w:val="32"/>
          <w:szCs w:val="32"/>
          <w:lang w:val="en-US" w:eastAsia="zh-CN" w:bidi="ar"/>
        </w:rPr>
        <w:t>区属国有企业应当建立每年对集团内部资产评估管理和资产评估项目常态化检查的长效机制，指导规范所属企业资产评估管理工作，督促评估机构提升资产评估质量。</w:t>
      </w:r>
    </w:p>
    <w:p w14:paraId="65A30A7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二</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000000"/>
          <w:kern w:val="0"/>
          <w:sz w:val="32"/>
          <w:szCs w:val="32"/>
          <w:highlight w:val="none"/>
          <w:lang w:val="en-US" w:eastAsia="zh-CN" w:bidi="ar"/>
        </w:rPr>
        <w:t>企业要在评估项目核准、备案后10个工作日内将信息按规定</w:t>
      </w:r>
      <w:r>
        <w:rPr>
          <w:rFonts w:hint="eastAsia" w:ascii="仿宋_GB2312" w:hAnsi="仿宋_GB2312" w:eastAsia="仿宋_GB2312" w:cs="仿宋_GB2312"/>
          <w:color w:val="000000"/>
          <w:kern w:val="0"/>
          <w:sz w:val="32"/>
          <w:szCs w:val="32"/>
          <w:highlight w:val="none"/>
          <w:lang w:eastAsia="zh-CN" w:bidi="ar"/>
        </w:rPr>
        <w:t>报送国资办</w:t>
      </w:r>
      <w:r>
        <w:rPr>
          <w:rFonts w:hint="eastAsia" w:ascii="仿宋_GB2312" w:hAnsi="仿宋_GB2312" w:eastAsia="仿宋_GB2312" w:cs="仿宋_GB2312"/>
          <w:color w:val="000000"/>
          <w:kern w:val="0"/>
          <w:sz w:val="32"/>
          <w:szCs w:val="32"/>
          <w:highlight w:val="none"/>
          <w:lang w:val="en-US" w:eastAsia="zh-CN" w:bidi="ar"/>
        </w:rPr>
        <w:t>。</w:t>
      </w:r>
    </w:p>
    <w:p w14:paraId="2A02C343">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三</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rPr>
        <w:t xml:space="preserve">产权持有单位或资产占有单位有下列情形之一的，不予办理核准或备案手续；已经办理的，该评估结果也不得作为对应经济行为的实施依据；评估工作尚未完成的，应当中止。必要时可依法向人民法院提起诉讼，确认其相应的经济行为无效。 </w:t>
      </w:r>
    </w:p>
    <w:p w14:paraId="2AD02EA8">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应当进行资产评估而未进行评估； </w:t>
      </w:r>
    </w:p>
    <w:p w14:paraId="59666114">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未按有关规定选聘评估机构，或者聘请的评估机构不符合相应资质条件； </w:t>
      </w:r>
    </w:p>
    <w:p w14:paraId="0CF4AD76">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未按规定向评估机构提供相关的评估资料、提供虚假情况或资料、或者与评估机构串通作弊，导致评估结果失实或引起相应的法律责任； </w:t>
      </w:r>
    </w:p>
    <w:p w14:paraId="3779CA23">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4.串通、唆使资产评估机构或者评估师出具虚假评估报告的；</w:t>
      </w:r>
    </w:p>
    <w:p w14:paraId="4D7AE6F9">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5.干预评审专家工作； </w:t>
      </w:r>
    </w:p>
    <w:p w14:paraId="07F0DB1E">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未按规定公示资产评估结果； </w:t>
      </w:r>
    </w:p>
    <w:p w14:paraId="5DC4F3D9">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未按规定办理核准或备案手续； </w:t>
      </w:r>
    </w:p>
    <w:p w14:paraId="089E3725">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8.未按照法律规定和评估报告载明的使用范围使用评估报告的；</w:t>
      </w:r>
    </w:p>
    <w:p w14:paraId="6B02B838">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9.索要、收受或者变相索要、收受回扣的； </w:t>
      </w:r>
    </w:p>
    <w:p w14:paraId="640A0FB6">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违反本办法的其他行为。 </w:t>
      </w:r>
    </w:p>
    <w:p w14:paraId="743BB308">
      <w:pPr>
        <w:keepNext w:val="0"/>
        <w:keepLines w:val="0"/>
        <w:pageBreakBefore w:val="0"/>
        <w:widowControl/>
        <w:suppressLineNumbers w:val="0"/>
        <w:kinsoku/>
        <w:wordWrap/>
        <w:topLinePunct w:val="0"/>
        <w:bidi w:val="0"/>
        <w:spacing w:line="560" w:lineRule="exact"/>
        <w:ind w:leftChars="0" w:firstLine="624" w:firstLineChars="200"/>
        <w:jc w:val="left"/>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color w:val="auto"/>
          <w:spacing w:val="-4"/>
          <w:kern w:val="0"/>
          <w:sz w:val="32"/>
          <w:szCs w:val="32"/>
        </w:rPr>
        <w:t>有前款情形之一的，</w:t>
      </w:r>
      <w:r>
        <w:rPr>
          <w:rFonts w:hint="eastAsia" w:ascii="仿宋_GB2312" w:hAnsi="仿宋_GB2312" w:eastAsia="仿宋_GB2312" w:cs="仿宋_GB2312"/>
          <w:color w:val="auto"/>
          <w:spacing w:val="-4"/>
          <w:kern w:val="0"/>
          <w:sz w:val="32"/>
          <w:szCs w:val="32"/>
          <w:lang w:val="en-US" w:eastAsia="zh-CN"/>
        </w:rPr>
        <w:t>区国资办</w:t>
      </w:r>
      <w:r>
        <w:rPr>
          <w:rFonts w:hint="eastAsia" w:ascii="仿宋_GB2312" w:hAnsi="仿宋_GB2312" w:eastAsia="仿宋_GB2312" w:cs="仿宋_GB2312"/>
          <w:kern w:val="2"/>
          <w:sz w:val="32"/>
          <w:szCs w:val="32"/>
          <w:vertAlign w:val="baseline"/>
          <w:lang w:val="en-US" w:eastAsia="zh-CN" w:bidi="ar-SA"/>
        </w:rPr>
        <w:t>可以采取监管提示函、责任约谈、监管通报等方式责令改正；属于国家工作人员的，依法给予处分；造成国有资产损失的，除依法承担赔偿责任外，依法依规予以责任追究；涉嫌犯罪的，依法移送司法机关处理。</w:t>
      </w:r>
    </w:p>
    <w:p w14:paraId="325A80F6">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四</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rPr>
        <w:t xml:space="preserve">评估机构和注册资产评估师对评估结果承担相应的法律责任。 </w:t>
      </w:r>
    </w:p>
    <w:p w14:paraId="611FD613">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rPr>
        <w:t xml:space="preserve">评估机构和注册资产评估师对评估资料不全导致无法合理评估的，应当以书面形式要求产权持有人和资产占有单位提供或说明，未要求提供的（或虽要求提供，但企业未提供，资产评估报告中也未说明的），由此导致评估失实或引起相应的法律纠纷的，由评估机构和注册资产评估师承担相应的法律责任。 </w:t>
      </w:r>
    </w:p>
    <w:p w14:paraId="3FA1C66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五</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rPr>
        <w:t>评估机构及其注册资产评估师有下列情形之一的，</w:t>
      </w:r>
      <w:r>
        <w:rPr>
          <w:rFonts w:hint="eastAsia" w:ascii="仿宋_GB2312" w:hAnsi="仿宋_GB2312" w:eastAsia="仿宋_GB2312" w:cs="仿宋_GB2312"/>
          <w:color w:val="auto"/>
          <w:spacing w:val="-4"/>
          <w:kern w:val="0"/>
          <w:sz w:val="32"/>
          <w:szCs w:val="32"/>
          <w:lang w:val="en-US" w:eastAsia="zh-CN"/>
        </w:rPr>
        <w:t>区国资办</w:t>
      </w:r>
      <w:r>
        <w:rPr>
          <w:rFonts w:hint="eastAsia" w:ascii="仿宋_GB2312" w:hAnsi="仿宋_GB2312" w:eastAsia="仿宋_GB2312" w:cs="仿宋_GB2312"/>
          <w:color w:val="auto"/>
          <w:spacing w:val="-4"/>
          <w:kern w:val="0"/>
          <w:sz w:val="32"/>
          <w:szCs w:val="32"/>
        </w:rPr>
        <w:t>将视情况将有关情况通报其行业主管部门，建议给予相应处罚；情节严重的，可要求企业不得再委托该中介机构及其当事人进行国有资产评估业务；涉嫌犯罪的，依法移送司法机关处理。</w:t>
      </w:r>
    </w:p>
    <w:p w14:paraId="57D7174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bCs/>
          <w:color w:val="auto"/>
          <w:spacing w:val="-4"/>
          <w:kern w:val="0"/>
          <w:sz w:val="32"/>
          <w:szCs w:val="32"/>
        </w:rPr>
      </w:pPr>
      <w:r>
        <w:rPr>
          <w:rFonts w:hint="eastAsia" w:ascii="仿宋_GB2312" w:hAnsi="仿宋_GB2312" w:eastAsia="仿宋_GB2312" w:cs="仿宋_GB2312"/>
          <w:bCs/>
          <w:color w:val="auto"/>
          <w:spacing w:val="-4"/>
          <w:kern w:val="0"/>
          <w:sz w:val="32"/>
          <w:szCs w:val="32"/>
          <w:lang w:val="en-US" w:eastAsia="zh-CN"/>
        </w:rPr>
        <w:t>1.</w:t>
      </w:r>
      <w:r>
        <w:rPr>
          <w:rFonts w:hint="eastAsia" w:ascii="仿宋_GB2312" w:hAnsi="仿宋_GB2312" w:eastAsia="仿宋_GB2312" w:cs="仿宋_GB2312"/>
          <w:bCs/>
          <w:color w:val="auto"/>
          <w:spacing w:val="-4"/>
          <w:kern w:val="0"/>
          <w:sz w:val="32"/>
          <w:szCs w:val="32"/>
        </w:rPr>
        <w:t>在</w:t>
      </w:r>
      <w:r>
        <w:rPr>
          <w:rFonts w:hint="eastAsia" w:ascii="仿宋_GB2312" w:hAnsi="仿宋_GB2312" w:eastAsia="仿宋_GB2312" w:cs="仿宋_GB2312"/>
          <w:bCs/>
          <w:color w:val="auto"/>
          <w:spacing w:val="-4"/>
          <w:kern w:val="0"/>
          <w:sz w:val="32"/>
          <w:szCs w:val="32"/>
          <w:lang w:eastAsia="zh-CN"/>
        </w:rPr>
        <w:t>向企业</w:t>
      </w:r>
      <w:r>
        <w:rPr>
          <w:rFonts w:hint="eastAsia" w:ascii="仿宋_GB2312" w:hAnsi="仿宋_GB2312" w:eastAsia="仿宋_GB2312" w:cs="仿宋_GB2312"/>
          <w:bCs/>
          <w:color w:val="auto"/>
          <w:spacing w:val="-4"/>
          <w:kern w:val="0"/>
          <w:sz w:val="32"/>
          <w:szCs w:val="32"/>
        </w:rPr>
        <w:t>申请入库和承接项目中有弄虚作假、恶意串通等行为，或将承接的业务转包、分包的；</w:t>
      </w:r>
    </w:p>
    <w:p w14:paraId="5DD9EE2D">
      <w:pPr>
        <w:keepNext w:val="0"/>
        <w:keepLines w:val="0"/>
        <w:pageBreakBefore w:val="0"/>
        <w:widowControl w:val="0"/>
        <w:kinsoku/>
        <w:wordWrap/>
        <w:overflowPunct/>
        <w:topLinePunct w:val="0"/>
        <w:bidi w:val="0"/>
        <w:adjustRightInd w:val="0"/>
        <w:snapToGrid w:val="0"/>
        <w:spacing w:line="560" w:lineRule="exact"/>
        <w:ind w:left="0" w:leftChars="0" w:firstLine="624" w:firstLineChars="200"/>
        <w:rPr>
          <w:rFonts w:hint="eastAsia" w:ascii="仿宋_GB2312" w:hAnsi="仿宋_GB2312" w:eastAsia="仿宋_GB2312" w:cs="仿宋_GB2312"/>
          <w:bCs/>
          <w:color w:val="auto"/>
          <w:spacing w:val="-4"/>
          <w:kern w:val="0"/>
          <w:sz w:val="32"/>
          <w:szCs w:val="32"/>
        </w:rPr>
      </w:pPr>
      <w:r>
        <w:rPr>
          <w:rFonts w:hint="eastAsia" w:ascii="仿宋_GB2312" w:hAnsi="仿宋_GB2312" w:eastAsia="仿宋_GB2312" w:cs="仿宋_GB2312"/>
          <w:bCs/>
          <w:color w:val="auto"/>
          <w:spacing w:val="-4"/>
          <w:kern w:val="0"/>
          <w:sz w:val="32"/>
          <w:szCs w:val="32"/>
          <w:lang w:val="en-US" w:eastAsia="zh-CN"/>
        </w:rPr>
        <w:t>2.</w:t>
      </w:r>
      <w:r>
        <w:rPr>
          <w:rFonts w:hint="eastAsia" w:ascii="仿宋_GB2312" w:hAnsi="仿宋_GB2312" w:eastAsia="仿宋_GB2312" w:cs="仿宋_GB2312"/>
          <w:bCs/>
          <w:color w:val="auto"/>
          <w:spacing w:val="-4"/>
          <w:kern w:val="0"/>
          <w:sz w:val="32"/>
          <w:szCs w:val="32"/>
        </w:rPr>
        <w:t>泄露企业商业秘密，或者因工作失误造成被评估单位或委托方重大损失的；</w:t>
      </w:r>
    </w:p>
    <w:p w14:paraId="2D8015BD">
      <w:pPr>
        <w:keepNext w:val="0"/>
        <w:keepLines w:val="0"/>
        <w:pageBreakBefore w:val="0"/>
        <w:widowControl w:val="0"/>
        <w:kinsoku/>
        <w:wordWrap/>
        <w:overflowPunct/>
        <w:topLinePunct w:val="0"/>
        <w:bidi w:val="0"/>
        <w:adjustRightInd w:val="0"/>
        <w:snapToGrid w:val="0"/>
        <w:spacing w:line="560" w:lineRule="exact"/>
        <w:ind w:left="0" w:leftChars="0" w:firstLine="624" w:firstLineChars="200"/>
        <w:rPr>
          <w:rFonts w:hint="eastAsia" w:ascii="仿宋_GB2312" w:hAnsi="仿宋_GB2312" w:eastAsia="仿宋_GB2312" w:cs="仿宋_GB2312"/>
          <w:bCs/>
          <w:color w:val="auto"/>
          <w:spacing w:val="-4"/>
          <w:kern w:val="0"/>
          <w:sz w:val="32"/>
          <w:szCs w:val="32"/>
        </w:rPr>
      </w:pPr>
      <w:r>
        <w:rPr>
          <w:rFonts w:hint="eastAsia" w:ascii="仿宋_GB2312" w:hAnsi="仿宋_GB2312" w:eastAsia="仿宋_GB2312" w:cs="仿宋_GB2312"/>
          <w:bCs/>
          <w:color w:val="auto"/>
          <w:spacing w:val="-4"/>
          <w:kern w:val="0"/>
          <w:sz w:val="32"/>
          <w:szCs w:val="32"/>
          <w:lang w:val="en-US" w:eastAsia="zh-CN"/>
        </w:rPr>
        <w:t>3.</w:t>
      </w:r>
      <w:r>
        <w:rPr>
          <w:rFonts w:hint="eastAsia" w:ascii="仿宋_GB2312" w:hAnsi="仿宋_GB2312" w:eastAsia="仿宋_GB2312" w:cs="仿宋_GB2312"/>
          <w:bCs/>
          <w:color w:val="auto"/>
          <w:spacing w:val="-4"/>
          <w:kern w:val="0"/>
          <w:sz w:val="32"/>
          <w:szCs w:val="32"/>
        </w:rPr>
        <w:t>在评估工作中存在重大过错，致使</w:t>
      </w:r>
      <w:r>
        <w:rPr>
          <w:rFonts w:hint="eastAsia" w:ascii="仿宋_GB2312" w:hAnsi="仿宋_GB2312" w:eastAsia="仿宋_GB2312" w:cs="仿宋_GB2312"/>
          <w:color w:val="auto"/>
          <w:spacing w:val="-4"/>
          <w:kern w:val="0"/>
          <w:sz w:val="32"/>
          <w:szCs w:val="32"/>
        </w:rPr>
        <w:t>评估报告存在重大问题，</w:t>
      </w:r>
      <w:r>
        <w:rPr>
          <w:rFonts w:hint="eastAsia" w:ascii="仿宋_GB2312" w:hAnsi="仿宋_GB2312" w:eastAsia="仿宋_GB2312" w:cs="仿宋_GB2312"/>
          <w:bCs/>
          <w:color w:val="auto"/>
          <w:spacing w:val="-4"/>
          <w:kern w:val="0"/>
          <w:sz w:val="32"/>
          <w:szCs w:val="32"/>
        </w:rPr>
        <w:t>评估结果严重失实的；</w:t>
      </w:r>
    </w:p>
    <w:p w14:paraId="65FFD773">
      <w:pPr>
        <w:keepNext w:val="0"/>
        <w:keepLines w:val="0"/>
        <w:pageBreakBefore w:val="0"/>
        <w:widowControl w:val="0"/>
        <w:kinsoku/>
        <w:wordWrap/>
        <w:overflowPunct/>
        <w:topLinePunct w:val="0"/>
        <w:bidi w:val="0"/>
        <w:adjustRightInd w:val="0"/>
        <w:snapToGrid w:val="0"/>
        <w:spacing w:line="560" w:lineRule="exact"/>
        <w:ind w:left="0" w:leftChars="0" w:firstLine="624" w:firstLineChars="200"/>
        <w:rPr>
          <w:rFonts w:hint="eastAsia" w:ascii="仿宋_GB2312" w:hAnsi="仿宋_GB2312" w:eastAsia="仿宋_GB2312" w:cs="仿宋_GB2312"/>
          <w:bCs/>
          <w:color w:val="auto"/>
          <w:spacing w:val="-4"/>
          <w:kern w:val="0"/>
          <w:sz w:val="32"/>
          <w:szCs w:val="32"/>
        </w:rPr>
      </w:pPr>
      <w:r>
        <w:rPr>
          <w:rFonts w:hint="eastAsia" w:ascii="仿宋_GB2312" w:hAnsi="仿宋_GB2312" w:eastAsia="仿宋_GB2312" w:cs="仿宋_GB2312"/>
          <w:bCs/>
          <w:color w:val="auto"/>
          <w:spacing w:val="-4"/>
          <w:kern w:val="0"/>
          <w:sz w:val="32"/>
          <w:szCs w:val="32"/>
          <w:lang w:val="en-US" w:eastAsia="zh-CN"/>
        </w:rPr>
        <w:t>4.</w:t>
      </w:r>
      <w:r>
        <w:rPr>
          <w:rFonts w:hint="eastAsia" w:ascii="仿宋_GB2312" w:hAnsi="仿宋_GB2312" w:eastAsia="仿宋_GB2312" w:cs="仿宋_GB2312"/>
          <w:bCs/>
          <w:color w:val="auto"/>
          <w:spacing w:val="-4"/>
          <w:kern w:val="0"/>
          <w:sz w:val="32"/>
          <w:szCs w:val="32"/>
        </w:rPr>
        <w:t>对</w:t>
      </w:r>
      <w:r>
        <w:rPr>
          <w:rFonts w:hint="eastAsia" w:ascii="仿宋_GB2312" w:hAnsi="仿宋_GB2312" w:eastAsia="仿宋_GB2312" w:cs="仿宋_GB2312"/>
          <w:bCs/>
          <w:color w:val="auto"/>
          <w:spacing w:val="-4"/>
          <w:kern w:val="0"/>
          <w:sz w:val="32"/>
          <w:szCs w:val="32"/>
          <w:lang w:val="en-US" w:eastAsia="zh-CN"/>
        </w:rPr>
        <w:t>区国资办</w:t>
      </w:r>
      <w:r>
        <w:rPr>
          <w:rFonts w:hint="eastAsia" w:ascii="仿宋_GB2312" w:hAnsi="仿宋_GB2312" w:eastAsia="仿宋_GB2312" w:cs="仿宋_GB2312"/>
          <w:bCs/>
          <w:color w:val="auto"/>
          <w:spacing w:val="-4"/>
          <w:kern w:val="0"/>
          <w:sz w:val="32"/>
          <w:szCs w:val="32"/>
        </w:rPr>
        <w:t>依法实施的跟踪指导和监督抽查不予配合的；</w:t>
      </w:r>
    </w:p>
    <w:p w14:paraId="355E89D9">
      <w:pPr>
        <w:keepNext w:val="0"/>
        <w:keepLines w:val="0"/>
        <w:pageBreakBefore w:val="0"/>
        <w:widowControl w:val="0"/>
        <w:kinsoku/>
        <w:wordWrap/>
        <w:overflowPunct/>
        <w:topLinePunct w:val="0"/>
        <w:bidi w:val="0"/>
        <w:adjustRightInd w:val="0"/>
        <w:snapToGrid w:val="0"/>
        <w:spacing w:line="560" w:lineRule="exact"/>
        <w:ind w:left="0" w:leftChars="0" w:firstLine="624" w:firstLineChars="200"/>
        <w:rPr>
          <w:rFonts w:hint="eastAsia" w:ascii="仿宋_GB2312" w:hAnsi="仿宋_GB2312" w:eastAsia="仿宋_GB2312" w:cs="仿宋_GB2312"/>
          <w:bCs/>
          <w:color w:val="auto"/>
          <w:spacing w:val="-4"/>
          <w:kern w:val="0"/>
          <w:sz w:val="32"/>
          <w:szCs w:val="32"/>
        </w:rPr>
      </w:pPr>
      <w:r>
        <w:rPr>
          <w:rFonts w:hint="eastAsia" w:ascii="仿宋_GB2312" w:hAnsi="仿宋_GB2312" w:eastAsia="仿宋_GB2312" w:cs="仿宋_GB2312"/>
          <w:bCs/>
          <w:color w:val="auto"/>
          <w:spacing w:val="-4"/>
          <w:kern w:val="0"/>
          <w:sz w:val="32"/>
          <w:szCs w:val="32"/>
          <w:lang w:val="en-US" w:eastAsia="zh-CN"/>
        </w:rPr>
        <w:t>5.</w:t>
      </w:r>
      <w:r>
        <w:rPr>
          <w:rFonts w:hint="eastAsia" w:ascii="仿宋_GB2312" w:hAnsi="仿宋_GB2312" w:eastAsia="仿宋_GB2312" w:cs="仿宋_GB2312"/>
          <w:color w:val="auto"/>
          <w:spacing w:val="-4"/>
          <w:kern w:val="0"/>
          <w:sz w:val="32"/>
          <w:szCs w:val="32"/>
        </w:rPr>
        <w:t>对未按国资管理规定审批的经济行为出具评估报告或其他鉴证报告的；</w:t>
      </w:r>
      <w:r>
        <w:rPr>
          <w:rFonts w:hint="eastAsia" w:ascii="仿宋_GB2312" w:hAnsi="仿宋_GB2312" w:eastAsia="仿宋_GB2312" w:cs="仿宋_GB2312"/>
          <w:bCs/>
          <w:color w:val="auto"/>
          <w:spacing w:val="-4"/>
          <w:kern w:val="0"/>
          <w:sz w:val="32"/>
          <w:szCs w:val="32"/>
        </w:rPr>
        <w:t xml:space="preserve"> </w:t>
      </w:r>
    </w:p>
    <w:p w14:paraId="56E05559">
      <w:pPr>
        <w:keepNext w:val="0"/>
        <w:keepLines w:val="0"/>
        <w:pageBreakBefore w:val="0"/>
        <w:widowControl w:val="0"/>
        <w:kinsoku/>
        <w:wordWrap/>
        <w:overflowPunct/>
        <w:topLinePunct w:val="0"/>
        <w:bidi w:val="0"/>
        <w:adjustRightInd w:val="0"/>
        <w:snapToGrid w:val="0"/>
        <w:spacing w:line="560" w:lineRule="exact"/>
        <w:ind w:left="0" w:leftChars="0" w:firstLine="624" w:firstLineChars="200"/>
        <w:rPr>
          <w:rFonts w:hint="eastAsia" w:ascii="仿宋_GB2312" w:hAnsi="仿宋_GB2312" w:eastAsia="仿宋_GB2312" w:cs="仿宋_GB2312"/>
          <w:bCs/>
          <w:color w:val="auto"/>
          <w:spacing w:val="-4"/>
          <w:kern w:val="0"/>
          <w:sz w:val="32"/>
          <w:szCs w:val="32"/>
        </w:rPr>
      </w:pPr>
      <w:r>
        <w:rPr>
          <w:rFonts w:hint="eastAsia" w:ascii="仿宋_GB2312" w:hAnsi="仿宋_GB2312" w:eastAsia="仿宋_GB2312" w:cs="仿宋_GB2312"/>
          <w:bCs/>
          <w:color w:val="auto"/>
          <w:spacing w:val="-4"/>
          <w:kern w:val="0"/>
          <w:sz w:val="32"/>
          <w:szCs w:val="32"/>
          <w:lang w:val="en-US" w:eastAsia="zh-CN"/>
        </w:rPr>
        <w:t>6.</w:t>
      </w:r>
      <w:r>
        <w:rPr>
          <w:rFonts w:hint="eastAsia" w:ascii="仿宋_GB2312" w:hAnsi="仿宋_GB2312" w:eastAsia="仿宋_GB2312" w:cs="仿宋_GB2312"/>
          <w:color w:val="auto"/>
          <w:spacing w:val="-4"/>
          <w:kern w:val="0"/>
          <w:sz w:val="32"/>
          <w:szCs w:val="32"/>
        </w:rPr>
        <w:t>未按入库标书、应聘承诺和业务约定书规定的要求完成评估并按时出具资产评估报告的，包括评估报告不符合《企业国有资产评估报告指南》要求的；</w:t>
      </w:r>
      <w:r>
        <w:rPr>
          <w:rFonts w:hint="eastAsia" w:ascii="仿宋_GB2312" w:hAnsi="仿宋_GB2312" w:eastAsia="仿宋_GB2312" w:cs="仿宋_GB2312"/>
          <w:bCs/>
          <w:color w:val="auto"/>
          <w:spacing w:val="-4"/>
          <w:kern w:val="0"/>
          <w:sz w:val="32"/>
          <w:szCs w:val="32"/>
        </w:rPr>
        <w:t xml:space="preserve"> </w:t>
      </w:r>
    </w:p>
    <w:p w14:paraId="15F016A0">
      <w:pPr>
        <w:keepNext w:val="0"/>
        <w:keepLines w:val="0"/>
        <w:pageBreakBefore w:val="0"/>
        <w:widowControl w:val="0"/>
        <w:kinsoku/>
        <w:wordWrap/>
        <w:overflowPunct/>
        <w:topLinePunct w:val="0"/>
        <w:bidi w:val="0"/>
        <w:adjustRightInd w:val="0"/>
        <w:snapToGrid w:val="0"/>
        <w:spacing w:line="560" w:lineRule="exact"/>
        <w:ind w:left="0" w:leftChars="0" w:firstLine="624" w:firstLineChars="200"/>
        <w:rPr>
          <w:rFonts w:hint="eastAsia" w:ascii="仿宋_GB2312" w:hAnsi="仿宋_GB2312" w:eastAsia="仿宋_GB2312" w:cs="仿宋_GB2312"/>
          <w:bCs/>
          <w:color w:val="auto"/>
          <w:spacing w:val="-4"/>
          <w:kern w:val="0"/>
          <w:sz w:val="32"/>
          <w:szCs w:val="32"/>
        </w:rPr>
      </w:pPr>
      <w:r>
        <w:rPr>
          <w:rFonts w:hint="eastAsia" w:ascii="仿宋_GB2312" w:hAnsi="仿宋_GB2312" w:eastAsia="仿宋_GB2312" w:cs="仿宋_GB2312"/>
          <w:bCs/>
          <w:color w:val="auto"/>
          <w:spacing w:val="-4"/>
          <w:kern w:val="0"/>
          <w:sz w:val="32"/>
          <w:szCs w:val="32"/>
          <w:lang w:val="en-US" w:eastAsia="zh-CN"/>
        </w:rPr>
        <w:t>7.</w:t>
      </w:r>
      <w:r>
        <w:rPr>
          <w:rFonts w:hint="eastAsia" w:ascii="仿宋_GB2312" w:hAnsi="仿宋_GB2312" w:eastAsia="仿宋_GB2312" w:cs="仿宋_GB2312"/>
          <w:color w:val="auto"/>
          <w:spacing w:val="-4"/>
          <w:kern w:val="0"/>
          <w:sz w:val="32"/>
          <w:szCs w:val="32"/>
        </w:rPr>
        <w:t>专家评审会对评估报告提出修改意见，但修改后仍被专家评审会否决两次以上的；</w:t>
      </w:r>
      <w:r>
        <w:rPr>
          <w:rFonts w:hint="eastAsia" w:ascii="仿宋_GB2312" w:hAnsi="仿宋_GB2312" w:eastAsia="仿宋_GB2312" w:cs="仿宋_GB2312"/>
          <w:bCs/>
          <w:color w:val="auto"/>
          <w:spacing w:val="-4"/>
          <w:kern w:val="0"/>
          <w:sz w:val="32"/>
          <w:szCs w:val="32"/>
        </w:rPr>
        <w:t xml:space="preserve"> </w:t>
      </w:r>
    </w:p>
    <w:p w14:paraId="3AF38EF6">
      <w:pPr>
        <w:keepNext w:val="0"/>
        <w:keepLines w:val="0"/>
        <w:pageBreakBefore w:val="0"/>
        <w:widowControl w:val="0"/>
        <w:kinsoku/>
        <w:wordWrap/>
        <w:overflowPunct/>
        <w:topLinePunct w:val="0"/>
        <w:bidi w:val="0"/>
        <w:adjustRightInd w:val="0"/>
        <w:snapToGrid w:val="0"/>
        <w:spacing w:line="560" w:lineRule="exact"/>
        <w:ind w:left="0" w:leftChars="0" w:firstLine="624" w:firstLineChars="200"/>
        <w:rPr>
          <w:rFonts w:hint="eastAsia" w:ascii="仿宋_GB2312" w:hAnsi="仿宋_GB2312" w:eastAsia="仿宋_GB2312" w:cs="仿宋_GB2312"/>
          <w:bCs/>
          <w:color w:val="auto"/>
          <w:spacing w:val="-4"/>
          <w:kern w:val="0"/>
          <w:sz w:val="32"/>
          <w:szCs w:val="32"/>
        </w:rPr>
      </w:pPr>
      <w:r>
        <w:rPr>
          <w:rFonts w:hint="eastAsia" w:ascii="仿宋_GB2312" w:hAnsi="仿宋_GB2312" w:eastAsia="仿宋_GB2312" w:cs="仿宋_GB2312"/>
          <w:bCs/>
          <w:color w:val="auto"/>
          <w:spacing w:val="-4"/>
          <w:kern w:val="0"/>
          <w:sz w:val="32"/>
          <w:szCs w:val="32"/>
          <w:lang w:val="en-US" w:eastAsia="zh-CN"/>
        </w:rPr>
        <w:t>8.</w:t>
      </w:r>
      <w:r>
        <w:rPr>
          <w:rFonts w:hint="eastAsia" w:ascii="仿宋_GB2312" w:hAnsi="仿宋_GB2312" w:eastAsia="仿宋_GB2312" w:cs="仿宋_GB2312"/>
          <w:bCs/>
          <w:color w:val="auto"/>
          <w:spacing w:val="-4"/>
          <w:kern w:val="0"/>
          <w:sz w:val="32"/>
          <w:szCs w:val="32"/>
        </w:rPr>
        <w:t>已不符合</w:t>
      </w:r>
      <w:r>
        <w:rPr>
          <w:rFonts w:hint="eastAsia" w:ascii="仿宋_GB2312" w:hAnsi="仿宋_GB2312" w:eastAsia="仿宋_GB2312" w:cs="仿宋_GB2312"/>
          <w:bCs/>
          <w:color w:val="auto"/>
          <w:spacing w:val="-4"/>
          <w:kern w:val="0"/>
          <w:sz w:val="32"/>
          <w:szCs w:val="32"/>
          <w:lang w:eastAsia="zh-CN"/>
        </w:rPr>
        <w:t>企业</w:t>
      </w:r>
      <w:r>
        <w:rPr>
          <w:rFonts w:hint="eastAsia" w:ascii="仿宋_GB2312" w:hAnsi="仿宋_GB2312" w:eastAsia="仿宋_GB2312" w:cs="仿宋_GB2312"/>
          <w:bCs/>
          <w:color w:val="auto"/>
          <w:spacing w:val="-4"/>
          <w:kern w:val="0"/>
          <w:sz w:val="32"/>
          <w:szCs w:val="32"/>
        </w:rPr>
        <w:t>评估中介机构库入库条件的；</w:t>
      </w:r>
    </w:p>
    <w:p w14:paraId="1C3C072F">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val="en-US" w:eastAsia="zh-CN"/>
        </w:rPr>
        <w:t>9.</w:t>
      </w:r>
      <w:r>
        <w:rPr>
          <w:rFonts w:hint="eastAsia" w:ascii="仿宋_GB2312" w:hAnsi="仿宋_GB2312" w:eastAsia="仿宋_GB2312" w:cs="仿宋_GB2312"/>
          <w:color w:val="auto"/>
          <w:spacing w:val="-4"/>
          <w:kern w:val="0"/>
          <w:sz w:val="32"/>
          <w:szCs w:val="32"/>
        </w:rPr>
        <w:t>其他违反职业道德和操守或明显不具备评估执业能力的情形。</w:t>
      </w:r>
    </w:p>
    <w:p w14:paraId="7619124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firstLine="624" w:firstLineChars="200"/>
        <w:jc w:val="both"/>
        <w:textAlignment w:val="baseline"/>
        <w:rPr>
          <w:rFonts w:hint="eastAsia" w:ascii="仿宋_GB2312" w:hAnsi="仿宋_GB2312" w:eastAsia="仿宋_GB2312" w:cs="仿宋_GB2312"/>
          <w:strike w:val="0"/>
          <w:dstrike w:val="0"/>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六</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strike w:val="0"/>
          <w:dstrike w:val="0"/>
          <w:color w:val="auto"/>
          <w:spacing w:val="-4"/>
          <w:kern w:val="0"/>
          <w:sz w:val="32"/>
          <w:szCs w:val="32"/>
        </w:rPr>
        <w:t>评估机构及其注册资产评估师在资产评估过程中违法违规执业的，</w:t>
      </w:r>
      <w:r>
        <w:rPr>
          <w:rFonts w:hint="eastAsia" w:ascii="仿宋_GB2312" w:hAnsi="仿宋_GB2312" w:eastAsia="仿宋_GB2312" w:cs="仿宋_GB2312"/>
          <w:color w:val="auto"/>
          <w:spacing w:val="-4"/>
          <w:kern w:val="0"/>
          <w:sz w:val="32"/>
          <w:szCs w:val="32"/>
          <w:lang w:val="en-US" w:eastAsia="zh-CN"/>
        </w:rPr>
        <w:t>区属</w:t>
      </w:r>
      <w:r>
        <w:rPr>
          <w:rFonts w:hint="eastAsia" w:ascii="仿宋_GB2312" w:hAnsi="仿宋_GB2312" w:eastAsia="仿宋_GB2312" w:cs="仿宋_GB2312"/>
          <w:color w:val="auto"/>
          <w:spacing w:val="-4"/>
          <w:kern w:val="0"/>
          <w:sz w:val="32"/>
          <w:szCs w:val="32"/>
        </w:rPr>
        <w:t>国</w:t>
      </w:r>
      <w:r>
        <w:rPr>
          <w:rFonts w:hint="eastAsia" w:ascii="仿宋_GB2312" w:hAnsi="仿宋_GB2312" w:eastAsia="仿宋_GB2312" w:cs="仿宋_GB2312"/>
          <w:color w:val="auto"/>
          <w:spacing w:val="-4"/>
          <w:kern w:val="0"/>
          <w:sz w:val="32"/>
          <w:szCs w:val="32"/>
          <w:lang w:eastAsia="zh-CN"/>
        </w:rPr>
        <w:t>有</w:t>
      </w:r>
      <w:r>
        <w:rPr>
          <w:rFonts w:hint="eastAsia" w:ascii="仿宋_GB2312" w:hAnsi="仿宋_GB2312" w:eastAsia="仿宋_GB2312" w:cs="仿宋_GB2312"/>
          <w:color w:val="auto"/>
          <w:spacing w:val="-4"/>
          <w:kern w:val="0"/>
          <w:sz w:val="32"/>
          <w:szCs w:val="32"/>
        </w:rPr>
        <w:t>企</w:t>
      </w:r>
      <w:r>
        <w:rPr>
          <w:rFonts w:hint="eastAsia" w:ascii="仿宋_GB2312" w:hAnsi="仿宋_GB2312" w:eastAsia="仿宋_GB2312" w:cs="仿宋_GB2312"/>
          <w:color w:val="auto"/>
          <w:spacing w:val="-4"/>
          <w:kern w:val="0"/>
          <w:sz w:val="32"/>
          <w:szCs w:val="32"/>
          <w:lang w:eastAsia="zh-CN"/>
        </w:rPr>
        <w:t>业</w:t>
      </w:r>
      <w:r>
        <w:rPr>
          <w:rFonts w:hint="eastAsia" w:ascii="仿宋_GB2312" w:hAnsi="仿宋_GB2312" w:eastAsia="仿宋_GB2312" w:cs="仿宋_GB2312"/>
          <w:color w:val="auto"/>
          <w:kern w:val="0"/>
          <w:sz w:val="32"/>
          <w:szCs w:val="32"/>
          <w:lang w:eastAsia="zh-CN" w:bidi="ar"/>
        </w:rPr>
        <w:t>应当</w:t>
      </w:r>
      <w:r>
        <w:rPr>
          <w:rFonts w:hint="eastAsia" w:ascii="仿宋_GB2312" w:hAnsi="仿宋_GB2312" w:eastAsia="仿宋_GB2312" w:cs="仿宋_GB2312"/>
          <w:color w:val="auto"/>
          <w:kern w:val="0"/>
          <w:sz w:val="32"/>
          <w:szCs w:val="32"/>
          <w:lang w:val="en-US" w:eastAsia="zh-CN" w:bidi="ar"/>
        </w:rPr>
        <w:t>采取向评估行业主管部门投诉或举报、不再委托相关中介机构开展评估工作等惩罚措施，并将相关违规情况及时报告区国资办。</w:t>
      </w:r>
      <w:r>
        <w:rPr>
          <w:rFonts w:hint="eastAsia" w:ascii="仿宋_GB2312" w:hAnsi="仿宋_GB2312" w:eastAsia="仿宋_GB2312" w:cs="仿宋_GB2312"/>
          <w:strike w:val="0"/>
          <w:dstrike w:val="0"/>
          <w:color w:val="auto"/>
          <w:spacing w:val="-4"/>
          <w:kern w:val="0"/>
          <w:sz w:val="32"/>
          <w:szCs w:val="32"/>
          <w:lang w:val="en-US" w:eastAsia="zh-CN"/>
        </w:rPr>
        <w:t>区国资办</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trike w:val="0"/>
          <w:dstrike w:val="0"/>
          <w:color w:val="auto"/>
          <w:spacing w:val="-4"/>
          <w:kern w:val="0"/>
          <w:sz w:val="32"/>
          <w:szCs w:val="32"/>
        </w:rPr>
        <w:t xml:space="preserve">将有关情况通报其行业主管部门，建议给予相应处罚；造成国有资产损失的，依法承担赔偿责任；涉嫌犯罪的，依法移送司法机关处理。 </w:t>
      </w:r>
    </w:p>
    <w:p w14:paraId="352F804F">
      <w:pPr>
        <w:keepNext w:val="0"/>
        <w:keepLines w:val="0"/>
        <w:pageBreakBefore w:val="0"/>
        <w:widowControl w:val="0"/>
        <w:kinsoku/>
        <w:wordWrap/>
        <w:topLinePunct w:val="0"/>
        <w:autoSpaceDE w:val="0"/>
        <w:autoSpaceDN w:val="0"/>
        <w:bidi w:val="0"/>
        <w:adjustRightInd w:val="0"/>
        <w:snapToGrid w:val="0"/>
        <w:spacing w:line="560" w:lineRule="exact"/>
        <w:ind w:left="0" w:leftChars="0" w:firstLine="624" w:firstLineChars="200"/>
        <w:jc w:val="both"/>
        <w:rPr>
          <w:rFonts w:hint="eastAsia" w:ascii="黑体" w:hAnsi="黑体" w:eastAsia="黑体" w:cs="黑体"/>
          <w:color w:val="auto"/>
          <w:spacing w:val="-4"/>
          <w:kern w:val="0"/>
          <w:sz w:val="32"/>
          <w:szCs w:val="32"/>
        </w:rPr>
      </w:pPr>
      <w:r>
        <w:rPr>
          <w:rFonts w:hint="eastAsia" w:ascii="黑体" w:hAnsi="黑体" w:eastAsia="黑体" w:cs="黑体"/>
          <w:color w:val="auto"/>
          <w:spacing w:val="-4"/>
          <w:kern w:val="0"/>
          <w:sz w:val="32"/>
          <w:szCs w:val="32"/>
          <w:lang w:val="en-US" w:eastAsia="zh-CN"/>
        </w:rPr>
        <w:t>八、</w:t>
      </w:r>
      <w:r>
        <w:rPr>
          <w:rFonts w:hint="eastAsia" w:ascii="黑体" w:hAnsi="黑体" w:eastAsia="黑体" w:cs="黑体"/>
          <w:color w:val="auto"/>
          <w:spacing w:val="-4"/>
          <w:kern w:val="0"/>
          <w:sz w:val="32"/>
          <w:szCs w:val="32"/>
        </w:rPr>
        <w:t>附</w:t>
      </w:r>
      <w:r>
        <w:rPr>
          <w:rFonts w:hint="eastAsia" w:ascii="黑体" w:hAnsi="黑体" w:eastAsia="黑体" w:cs="黑体"/>
          <w:color w:val="auto"/>
          <w:spacing w:val="-4"/>
          <w:kern w:val="0"/>
          <w:sz w:val="32"/>
          <w:szCs w:val="32"/>
          <w:lang w:val="en-US" w:eastAsia="zh-CN"/>
        </w:rPr>
        <w:t xml:space="preserve"> </w:t>
      </w:r>
      <w:r>
        <w:rPr>
          <w:rFonts w:hint="eastAsia" w:ascii="黑体" w:hAnsi="黑体" w:eastAsia="黑体" w:cs="黑体"/>
          <w:color w:val="auto"/>
          <w:spacing w:val="-4"/>
          <w:kern w:val="0"/>
          <w:sz w:val="32"/>
          <w:szCs w:val="32"/>
        </w:rPr>
        <w:t xml:space="preserve"> 则 </w:t>
      </w:r>
    </w:p>
    <w:p w14:paraId="47EFEC17">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textAlignment w:val="auto"/>
        <w:rPr>
          <w:rFonts w:hint="eastAsia" w:ascii="仿宋_GB2312" w:hAnsi="仿宋_GB2312" w:eastAsia="仿宋_GB2312" w:cs="仿宋_GB2312"/>
          <w:color w:val="auto"/>
          <w:spacing w:val="-4"/>
          <w:kern w:val="0"/>
          <w:sz w:val="32"/>
          <w:szCs w:val="32"/>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一</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rPr>
        <w:t xml:space="preserve">国家对上市公司资产评估管理另有规定的，从其规定。 </w:t>
      </w:r>
    </w:p>
    <w:p w14:paraId="7BB16DB4">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24" w:firstLineChars="200"/>
        <w:textAlignment w:val="auto"/>
        <w:rPr>
          <w:rFonts w:hint="eastAsia" w:ascii="仿宋_GB2312" w:hAnsi="Times New Roman" w:eastAsia="仿宋_GB2312" w:cs="仿宋_GB2312"/>
          <w:color w:val="auto"/>
          <w:spacing w:val="-4"/>
          <w:kern w:val="0"/>
          <w:sz w:val="32"/>
          <w:szCs w:val="32"/>
          <w:lang w:val="en-US" w:eastAsia="zh-CN" w:bidi="ar-SA"/>
        </w:rPr>
      </w:pP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lang w:val="en-US" w:eastAsia="zh-CN"/>
        </w:rPr>
        <w:t>二</w:t>
      </w:r>
      <w:r>
        <w:rPr>
          <w:rFonts w:hint="eastAsia" w:ascii="仿宋_GB2312" w:hAnsi="仿宋_GB2312" w:eastAsia="仿宋_GB2312" w:cs="仿宋_GB2312"/>
          <w:color w:val="auto"/>
          <w:spacing w:val="-4"/>
          <w:kern w:val="0"/>
          <w:sz w:val="32"/>
          <w:szCs w:val="32"/>
          <w:lang w:eastAsia="zh-CN"/>
        </w:rPr>
        <w:t>）</w:t>
      </w:r>
      <w:r>
        <w:rPr>
          <w:rFonts w:hint="eastAsia" w:ascii="仿宋_GB2312" w:hAnsi="仿宋_GB2312" w:eastAsia="仿宋_GB2312" w:cs="仿宋_GB2312"/>
          <w:color w:val="auto"/>
          <w:spacing w:val="-4"/>
          <w:kern w:val="0"/>
          <w:sz w:val="32"/>
          <w:szCs w:val="32"/>
        </w:rPr>
        <w:t>本办法</w:t>
      </w:r>
      <w:r>
        <w:rPr>
          <w:rFonts w:hint="eastAsia" w:ascii="仿宋_GB2312" w:hAnsi="仿宋_GB2312" w:eastAsia="仿宋_GB2312" w:cs="仿宋_GB2312"/>
          <w:color w:val="auto"/>
          <w:spacing w:val="-4"/>
          <w:kern w:val="0"/>
          <w:sz w:val="32"/>
          <w:szCs w:val="32"/>
          <w:lang w:eastAsia="zh-CN"/>
        </w:rPr>
        <w:t>自</w:t>
      </w:r>
      <w:r>
        <w:rPr>
          <w:rFonts w:hint="eastAsia" w:ascii="仿宋_GB2312" w:hAnsi="仿宋_GB2312" w:eastAsia="仿宋_GB2312" w:cs="仿宋_GB2312"/>
          <w:color w:val="auto"/>
          <w:spacing w:val="-4"/>
          <w:kern w:val="0"/>
          <w:sz w:val="32"/>
          <w:szCs w:val="32"/>
          <w:lang w:val="en-US" w:eastAsia="zh-CN"/>
        </w:rPr>
        <w:t>2024年X月X日</w:t>
      </w:r>
      <w:r>
        <w:rPr>
          <w:rFonts w:hint="eastAsia" w:ascii="仿宋_GB2312" w:hAnsi="仿宋_GB2312" w:eastAsia="仿宋_GB2312" w:cs="仿宋_GB2312"/>
          <w:color w:val="auto"/>
          <w:spacing w:val="-4"/>
          <w:kern w:val="0"/>
          <w:sz w:val="32"/>
          <w:szCs w:val="32"/>
        </w:rPr>
        <w:t>施行，</w:t>
      </w:r>
      <w:r>
        <w:rPr>
          <w:rFonts w:hint="eastAsia" w:ascii="仿宋_GB2312" w:hAnsi="仿宋_GB2312" w:eastAsia="仿宋_GB2312" w:cs="仿宋_GB2312"/>
          <w:i w:val="0"/>
          <w:caps w:val="0"/>
          <w:color w:val="auto"/>
          <w:spacing w:val="-4"/>
          <w:kern w:val="0"/>
          <w:sz w:val="32"/>
          <w:szCs w:val="32"/>
          <w:shd w:val="clear" w:fill="auto"/>
          <w:lang w:val="en-US" w:eastAsia="zh-CN" w:bidi="ar"/>
        </w:rPr>
        <w:t>温州湾新区、龙湾区范围内有关</w:t>
      </w:r>
      <w:r>
        <w:rPr>
          <w:rFonts w:hint="eastAsia" w:ascii="仿宋_GB2312" w:hAnsi="仿宋_GB2312" w:eastAsia="仿宋_GB2312" w:cs="仿宋_GB2312"/>
          <w:i w:val="0"/>
          <w:caps w:val="0"/>
          <w:color w:val="auto"/>
          <w:spacing w:val="-4"/>
          <w:kern w:val="0"/>
          <w:sz w:val="32"/>
          <w:szCs w:val="32"/>
          <w:shd w:val="clear"/>
          <w:lang w:val="en-US" w:eastAsia="zh-CN" w:bidi="ar"/>
        </w:rPr>
        <w:t>区属国有企业资产评估管理</w:t>
      </w:r>
      <w:r>
        <w:rPr>
          <w:rFonts w:hint="eastAsia" w:ascii="仿宋_GB2312" w:hAnsi="仿宋_GB2312" w:eastAsia="仿宋_GB2312" w:cs="仿宋_GB2312"/>
          <w:i w:val="0"/>
          <w:caps w:val="0"/>
          <w:color w:val="auto"/>
          <w:spacing w:val="-4"/>
          <w:kern w:val="0"/>
          <w:sz w:val="32"/>
          <w:szCs w:val="32"/>
          <w:shd w:val="clear" w:fill="auto"/>
          <w:lang w:val="en-US" w:eastAsia="zh-CN" w:bidi="ar"/>
        </w:rPr>
        <w:t>的规定与本规定不符的，以本规定为准</w:t>
      </w:r>
      <w:r>
        <w:rPr>
          <w:rFonts w:hint="eastAsia" w:ascii="仿宋_GB2312" w:hAnsi="Times New Roman" w:eastAsia="仿宋_GB2312" w:cs="仿宋_GB2312"/>
          <w:color w:val="auto"/>
          <w:spacing w:val="-4"/>
          <w:kern w:val="0"/>
          <w:sz w:val="32"/>
          <w:szCs w:val="32"/>
          <w:lang w:val="en-US" w:eastAsia="zh-CN" w:bidi="ar-SA"/>
        </w:rPr>
        <w:t>。</w:t>
      </w:r>
    </w:p>
    <w:p w14:paraId="208BBB82">
      <w:pPr>
        <w:pStyle w:val="2"/>
        <w:keepNext w:val="0"/>
        <w:keepLines w:val="0"/>
        <w:pageBreakBefore w:val="0"/>
        <w:widowControl w:val="0"/>
        <w:kinsoku/>
        <w:wordWrap/>
        <w:overflowPunct/>
        <w:topLinePunct w:val="0"/>
        <w:bidi w:val="0"/>
        <w:spacing w:after="0" w:line="560" w:lineRule="exact"/>
        <w:ind w:left="0" w:leftChars="0"/>
        <w:textAlignment w:val="auto"/>
        <w:rPr>
          <w:rFonts w:hint="eastAsia" w:ascii="仿宋_GB2312" w:hAnsi="Times New Roman" w:eastAsia="仿宋_GB2312" w:cs="仿宋_GB2312"/>
          <w:color w:val="auto"/>
          <w:spacing w:val="-4"/>
          <w:kern w:val="0"/>
          <w:sz w:val="32"/>
          <w:szCs w:val="32"/>
          <w:lang w:val="en-US" w:eastAsia="zh-CN" w:bidi="ar-SA"/>
        </w:rPr>
      </w:pPr>
    </w:p>
    <w:p w14:paraId="1064740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仿宋_GB2312" w:hAnsi="Times New Roman" w:eastAsia="仿宋_GB2312" w:cs="仿宋_GB2312"/>
          <w:color w:val="auto"/>
          <w:spacing w:val="-4"/>
          <w:kern w:val="0"/>
          <w:sz w:val="32"/>
          <w:szCs w:val="32"/>
          <w:lang w:val="en-US" w:eastAsia="zh-CN" w:bidi="ar-SA"/>
        </w:rPr>
        <w:sectPr>
          <w:footerReference r:id="rId3" w:type="default"/>
          <w:pgSz w:w="11906" w:h="16838"/>
          <w:pgMar w:top="2098" w:right="1474" w:bottom="1984" w:left="1474" w:header="851" w:footer="1644" w:gutter="0"/>
          <w:pgNumType w:fmt="numberInDash"/>
          <w:cols w:space="0" w:num="1"/>
          <w:rtlGutter w:val="0"/>
          <w:docGrid w:type="lines" w:linePitch="312" w:charSpace="0"/>
        </w:sectPr>
      </w:pPr>
      <w:r>
        <w:rPr>
          <w:rFonts w:hint="eastAsia" w:ascii="仿宋_GB2312" w:eastAsia="仿宋_GB2312" w:cs="仿宋_GB2312"/>
          <w:color w:val="auto"/>
          <w:spacing w:val="-4"/>
          <w:kern w:val="0"/>
          <w:sz w:val="32"/>
          <w:szCs w:val="32"/>
          <w:lang w:val="en-US" w:eastAsia="zh-CN" w:bidi="ar-SA"/>
        </w:rPr>
        <w:t>附件：评估机构执业质量评价表</w:t>
      </w:r>
    </w:p>
    <w:p w14:paraId="48545C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6A762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评估机构执业质量评价表</w:t>
      </w:r>
    </w:p>
    <w:p w14:paraId="30FED713">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lang w:val="en-US" w:eastAsia="zh-CN"/>
        </w:rPr>
      </w:pPr>
    </w:p>
    <w:tbl>
      <w:tblPr>
        <w:tblStyle w:val="12"/>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
        <w:gridCol w:w="1455"/>
        <w:gridCol w:w="76"/>
        <w:gridCol w:w="375"/>
        <w:gridCol w:w="1007"/>
        <w:gridCol w:w="981"/>
        <w:gridCol w:w="2280"/>
        <w:gridCol w:w="435"/>
        <w:gridCol w:w="70"/>
        <w:gridCol w:w="1182"/>
        <w:gridCol w:w="510"/>
        <w:gridCol w:w="203"/>
        <w:gridCol w:w="445"/>
      </w:tblGrid>
      <w:tr w14:paraId="2519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 w:type="dxa"/>
          <w:trHeight w:val="661" w:hRule="atLeast"/>
          <w:jc w:val="center"/>
        </w:trPr>
        <w:tc>
          <w:tcPr>
            <w:tcW w:w="8755" w:type="dxa"/>
            <w:gridSpan w:val="12"/>
            <w:noWrap w:val="0"/>
            <w:vAlign w:val="top"/>
          </w:tcPr>
          <w:p w14:paraId="34AECA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评估项目基本情况</w:t>
            </w:r>
          </w:p>
        </w:tc>
      </w:tr>
      <w:tr w14:paraId="4B2E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 w:type="dxa"/>
          <w:trHeight w:val="720" w:hRule="atLeast"/>
          <w:jc w:val="center"/>
        </w:trPr>
        <w:tc>
          <w:tcPr>
            <w:tcW w:w="2087" w:type="dxa"/>
            <w:gridSpan w:val="4"/>
            <w:noWrap w:val="0"/>
            <w:vAlign w:val="center"/>
          </w:tcPr>
          <w:p w14:paraId="1474DB6F">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项目名称</w:t>
            </w:r>
          </w:p>
        </w:tc>
        <w:tc>
          <w:tcPr>
            <w:tcW w:w="1988" w:type="dxa"/>
            <w:gridSpan w:val="2"/>
            <w:noWrap w:val="0"/>
            <w:vAlign w:val="center"/>
          </w:tcPr>
          <w:p w14:paraId="7043FE44">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p>
        </w:tc>
        <w:tc>
          <w:tcPr>
            <w:tcW w:w="2715" w:type="dxa"/>
            <w:gridSpan w:val="2"/>
            <w:noWrap w:val="0"/>
            <w:vAlign w:val="center"/>
          </w:tcPr>
          <w:p w14:paraId="5300C5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经济行为类型</w:t>
            </w:r>
          </w:p>
        </w:tc>
        <w:tc>
          <w:tcPr>
            <w:tcW w:w="1965" w:type="dxa"/>
            <w:gridSpan w:val="4"/>
            <w:noWrap w:val="0"/>
            <w:vAlign w:val="top"/>
          </w:tcPr>
          <w:p w14:paraId="763C3E79">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74C9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 w:type="dxa"/>
          <w:trHeight w:val="726" w:hRule="atLeast"/>
          <w:jc w:val="center"/>
        </w:trPr>
        <w:tc>
          <w:tcPr>
            <w:tcW w:w="2087" w:type="dxa"/>
            <w:gridSpan w:val="4"/>
            <w:noWrap w:val="0"/>
            <w:vAlign w:val="center"/>
          </w:tcPr>
          <w:p w14:paraId="26640C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评估机构名称</w:t>
            </w:r>
          </w:p>
        </w:tc>
        <w:tc>
          <w:tcPr>
            <w:tcW w:w="1988" w:type="dxa"/>
            <w:gridSpan w:val="2"/>
            <w:noWrap w:val="0"/>
            <w:vAlign w:val="center"/>
          </w:tcPr>
          <w:p w14:paraId="7307E1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8"/>
                <w:szCs w:val="28"/>
                <w:vertAlign w:val="baseline"/>
                <w:lang w:val="en-US" w:eastAsia="zh-CN"/>
              </w:rPr>
            </w:pPr>
          </w:p>
        </w:tc>
        <w:tc>
          <w:tcPr>
            <w:tcW w:w="2715" w:type="dxa"/>
            <w:gridSpan w:val="2"/>
            <w:noWrap w:val="0"/>
            <w:vAlign w:val="center"/>
          </w:tcPr>
          <w:p w14:paraId="5A4C6F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评估结论选用的</w:t>
            </w:r>
          </w:p>
          <w:p w14:paraId="6A25C0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评估方法</w:t>
            </w:r>
          </w:p>
        </w:tc>
        <w:tc>
          <w:tcPr>
            <w:tcW w:w="1965" w:type="dxa"/>
            <w:gridSpan w:val="4"/>
            <w:noWrap w:val="0"/>
            <w:vAlign w:val="top"/>
          </w:tcPr>
          <w:p w14:paraId="4B3083F1">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2603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 w:type="dxa"/>
          <w:trHeight w:val="719" w:hRule="atLeast"/>
          <w:jc w:val="center"/>
        </w:trPr>
        <w:tc>
          <w:tcPr>
            <w:tcW w:w="2087" w:type="dxa"/>
            <w:gridSpan w:val="4"/>
            <w:noWrap w:val="0"/>
            <w:vAlign w:val="center"/>
          </w:tcPr>
          <w:p w14:paraId="7B75E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签字评估师1</w:t>
            </w:r>
          </w:p>
        </w:tc>
        <w:tc>
          <w:tcPr>
            <w:tcW w:w="1988" w:type="dxa"/>
            <w:gridSpan w:val="2"/>
            <w:noWrap w:val="0"/>
            <w:vAlign w:val="center"/>
          </w:tcPr>
          <w:p w14:paraId="764CB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8"/>
                <w:szCs w:val="28"/>
                <w:vertAlign w:val="baseline"/>
                <w:lang w:val="en-US" w:eastAsia="zh-CN"/>
              </w:rPr>
            </w:pPr>
          </w:p>
        </w:tc>
        <w:tc>
          <w:tcPr>
            <w:tcW w:w="2715" w:type="dxa"/>
            <w:gridSpan w:val="2"/>
            <w:noWrap w:val="0"/>
            <w:vAlign w:val="center"/>
          </w:tcPr>
          <w:p w14:paraId="1F5575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签字评估师2</w:t>
            </w:r>
          </w:p>
        </w:tc>
        <w:tc>
          <w:tcPr>
            <w:tcW w:w="1965" w:type="dxa"/>
            <w:gridSpan w:val="4"/>
            <w:noWrap w:val="0"/>
            <w:vAlign w:val="top"/>
          </w:tcPr>
          <w:p w14:paraId="1B73E1A2">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790B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 w:type="dxa"/>
          <w:trHeight w:val="708" w:hRule="atLeast"/>
          <w:jc w:val="center"/>
        </w:trPr>
        <w:tc>
          <w:tcPr>
            <w:tcW w:w="2087" w:type="dxa"/>
            <w:gridSpan w:val="4"/>
            <w:noWrap w:val="0"/>
            <w:vAlign w:val="center"/>
          </w:tcPr>
          <w:p w14:paraId="0BCB57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总资产账面值（万元）</w:t>
            </w:r>
          </w:p>
        </w:tc>
        <w:tc>
          <w:tcPr>
            <w:tcW w:w="1988" w:type="dxa"/>
            <w:gridSpan w:val="2"/>
            <w:noWrap w:val="0"/>
            <w:vAlign w:val="center"/>
          </w:tcPr>
          <w:p w14:paraId="29998C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8"/>
                <w:szCs w:val="28"/>
                <w:vertAlign w:val="baseline"/>
                <w:lang w:val="en-US" w:eastAsia="zh-CN"/>
              </w:rPr>
            </w:pPr>
          </w:p>
        </w:tc>
        <w:tc>
          <w:tcPr>
            <w:tcW w:w="2715" w:type="dxa"/>
            <w:gridSpan w:val="2"/>
            <w:noWrap w:val="0"/>
            <w:vAlign w:val="center"/>
          </w:tcPr>
          <w:p w14:paraId="30DE98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净资产账面值</w:t>
            </w:r>
          </w:p>
          <w:p w14:paraId="3726E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（万元）</w:t>
            </w:r>
          </w:p>
        </w:tc>
        <w:tc>
          <w:tcPr>
            <w:tcW w:w="1965" w:type="dxa"/>
            <w:gridSpan w:val="4"/>
            <w:noWrap w:val="0"/>
            <w:vAlign w:val="top"/>
          </w:tcPr>
          <w:p w14:paraId="0AFC358D">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07AC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 w:type="dxa"/>
          <w:trHeight w:val="681" w:hRule="atLeast"/>
          <w:jc w:val="center"/>
        </w:trPr>
        <w:tc>
          <w:tcPr>
            <w:tcW w:w="2087" w:type="dxa"/>
            <w:gridSpan w:val="4"/>
            <w:noWrap w:val="0"/>
            <w:vAlign w:val="center"/>
          </w:tcPr>
          <w:p w14:paraId="0EC4C6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净资产评估值（万元）</w:t>
            </w:r>
          </w:p>
        </w:tc>
        <w:tc>
          <w:tcPr>
            <w:tcW w:w="1988" w:type="dxa"/>
            <w:gridSpan w:val="2"/>
            <w:noWrap w:val="0"/>
            <w:vAlign w:val="center"/>
          </w:tcPr>
          <w:p w14:paraId="37B4C0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4"/>
                <w:szCs w:val="24"/>
                <w:vertAlign w:val="baseline"/>
                <w:lang w:val="en-US" w:eastAsia="zh-CN"/>
              </w:rPr>
            </w:pPr>
          </w:p>
        </w:tc>
        <w:tc>
          <w:tcPr>
            <w:tcW w:w="2715" w:type="dxa"/>
            <w:gridSpan w:val="2"/>
            <w:noWrap w:val="0"/>
            <w:vAlign w:val="center"/>
          </w:tcPr>
          <w:p w14:paraId="764D8B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净资产评估增值率</w:t>
            </w:r>
          </w:p>
        </w:tc>
        <w:tc>
          <w:tcPr>
            <w:tcW w:w="1965" w:type="dxa"/>
            <w:gridSpan w:val="4"/>
            <w:noWrap w:val="0"/>
            <w:vAlign w:val="top"/>
          </w:tcPr>
          <w:p w14:paraId="716AB41A">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3899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 w:type="dxa"/>
          <w:trHeight w:val="661" w:hRule="atLeast"/>
          <w:jc w:val="center"/>
        </w:trPr>
        <w:tc>
          <w:tcPr>
            <w:tcW w:w="8755" w:type="dxa"/>
            <w:gridSpan w:val="12"/>
            <w:noWrap w:val="0"/>
            <w:vAlign w:val="top"/>
          </w:tcPr>
          <w:p w14:paraId="77EABAF8">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评估项目质量评价情况</w:t>
            </w:r>
          </w:p>
        </w:tc>
      </w:tr>
      <w:tr w14:paraId="0814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 w:type="dxa"/>
          <w:trHeight w:val="661" w:hRule="atLeast"/>
          <w:jc w:val="center"/>
        </w:trPr>
        <w:tc>
          <w:tcPr>
            <w:tcW w:w="1712" w:type="dxa"/>
            <w:gridSpan w:val="3"/>
            <w:noWrap w:val="0"/>
            <w:vAlign w:val="center"/>
          </w:tcPr>
          <w:p w14:paraId="1AA60210">
            <w:pPr>
              <w:keepNext w:val="0"/>
              <w:keepLines w:val="0"/>
              <w:suppressLineNumbers w:val="0"/>
              <w:spacing w:before="0" w:beforeAutospacing="0" w:after="0" w:afterAutospacing="0"/>
              <w:ind w:left="0" w:right="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评价主题</w:t>
            </w:r>
          </w:p>
        </w:tc>
        <w:tc>
          <w:tcPr>
            <w:tcW w:w="4643" w:type="dxa"/>
            <w:gridSpan w:val="4"/>
            <w:noWrap w:val="0"/>
            <w:vAlign w:val="center"/>
          </w:tcPr>
          <w:p w14:paraId="0C5F7263">
            <w:pPr>
              <w:keepNext w:val="0"/>
              <w:keepLines w:val="0"/>
              <w:suppressLineNumbers w:val="0"/>
              <w:spacing w:before="0" w:beforeAutospacing="0" w:after="0" w:afterAutospacing="0"/>
              <w:ind w:left="0" w:right="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评价内容</w:t>
            </w:r>
          </w:p>
        </w:tc>
        <w:tc>
          <w:tcPr>
            <w:tcW w:w="1687" w:type="dxa"/>
            <w:gridSpan w:val="3"/>
            <w:noWrap w:val="0"/>
            <w:vAlign w:val="center"/>
          </w:tcPr>
          <w:p w14:paraId="504D90FF">
            <w:pPr>
              <w:keepNext w:val="0"/>
              <w:keepLines w:val="0"/>
              <w:suppressLineNumbers w:val="0"/>
              <w:spacing w:before="0" w:beforeAutospacing="0" w:after="0" w:afterAutospacing="0"/>
              <w:ind w:left="0" w:right="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评价标准</w:t>
            </w:r>
          </w:p>
        </w:tc>
        <w:tc>
          <w:tcPr>
            <w:tcW w:w="713" w:type="dxa"/>
            <w:gridSpan w:val="2"/>
            <w:noWrap w:val="0"/>
            <w:vAlign w:val="center"/>
          </w:tcPr>
          <w:p w14:paraId="3D29AE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得分情况</w:t>
            </w:r>
          </w:p>
        </w:tc>
      </w:tr>
      <w:tr w14:paraId="4879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 w:type="dxa"/>
          <w:trHeight w:val="661" w:hRule="atLeast"/>
          <w:jc w:val="center"/>
        </w:trPr>
        <w:tc>
          <w:tcPr>
            <w:tcW w:w="1712" w:type="dxa"/>
            <w:gridSpan w:val="3"/>
            <w:vMerge w:val="restart"/>
            <w:noWrap w:val="0"/>
            <w:vAlign w:val="center"/>
          </w:tcPr>
          <w:p w14:paraId="54476206">
            <w:pPr>
              <w:keepNext w:val="0"/>
              <w:keepLines w:val="0"/>
              <w:suppressLineNumbers w:val="0"/>
              <w:spacing w:before="0" w:beforeAutospacing="0" w:after="0" w:afterAutospacing="0"/>
              <w:ind w:left="0" w:right="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服务质量评价（20分）</w:t>
            </w:r>
          </w:p>
        </w:tc>
        <w:tc>
          <w:tcPr>
            <w:tcW w:w="4643" w:type="dxa"/>
            <w:gridSpan w:val="4"/>
            <w:noWrap w:val="0"/>
            <w:vAlign w:val="center"/>
          </w:tcPr>
          <w:p w14:paraId="2FD11560">
            <w:pPr>
              <w:keepNext w:val="0"/>
              <w:keepLines w:val="0"/>
              <w:suppressLineNumbers w:val="0"/>
              <w:spacing w:before="0" w:beforeAutospacing="0" w:after="0" w:afterAutospacing="0"/>
              <w:ind w:left="0" w:right="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项目团队配置情况（2分）</w:t>
            </w:r>
          </w:p>
        </w:tc>
        <w:tc>
          <w:tcPr>
            <w:tcW w:w="1687" w:type="dxa"/>
            <w:gridSpan w:val="3"/>
            <w:noWrap w:val="0"/>
            <w:vAlign w:val="top"/>
          </w:tcPr>
          <w:p w14:paraId="0ECDA0FC">
            <w:pPr>
              <w:keepNext w:val="0"/>
              <w:keepLines w:val="0"/>
              <w:suppressLineNumbers w:val="0"/>
              <w:spacing w:before="0" w:beforeAutospacing="0" w:after="0" w:afterAutospacing="0"/>
              <w:ind w:left="0" w:right="0" w:firstLine="240" w:firstLineChars="10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优秀:2分</w:t>
            </w:r>
          </w:p>
          <w:p w14:paraId="0497951A">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一般:1分</w:t>
            </w:r>
          </w:p>
          <w:p w14:paraId="27C91A4E">
            <w:pPr>
              <w:keepNext w:val="0"/>
              <w:keepLines w:val="0"/>
              <w:suppressLineNumbers w:val="0"/>
              <w:spacing w:before="0" w:beforeAutospacing="0" w:after="0" w:afterAutospacing="0"/>
              <w:ind w:left="0" w:right="0" w:firstLine="240" w:firstLineChars="10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较差:0分</w:t>
            </w:r>
          </w:p>
        </w:tc>
        <w:tc>
          <w:tcPr>
            <w:tcW w:w="713" w:type="dxa"/>
            <w:gridSpan w:val="2"/>
            <w:noWrap w:val="0"/>
            <w:vAlign w:val="top"/>
          </w:tcPr>
          <w:p w14:paraId="7081692D">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2D6E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 w:type="dxa"/>
          <w:trHeight w:val="661" w:hRule="atLeast"/>
          <w:jc w:val="center"/>
        </w:trPr>
        <w:tc>
          <w:tcPr>
            <w:tcW w:w="1712" w:type="dxa"/>
            <w:gridSpan w:val="3"/>
            <w:vMerge w:val="continue"/>
            <w:noWrap w:val="0"/>
            <w:vAlign w:val="center"/>
          </w:tcPr>
          <w:p w14:paraId="6842A02D">
            <w:pPr>
              <w:keepNext w:val="0"/>
              <w:keepLines w:val="0"/>
              <w:suppressLineNumbers w:val="0"/>
              <w:spacing w:before="0" w:beforeAutospacing="0" w:after="0" w:afterAutospacing="0"/>
              <w:ind w:left="0" w:right="0"/>
              <w:jc w:val="center"/>
              <w:rPr>
                <w:rFonts w:hint="eastAsia" w:ascii="黑体" w:hAnsi="黑体" w:eastAsia="黑体" w:cs="黑体"/>
                <w:sz w:val="24"/>
                <w:szCs w:val="24"/>
                <w:vertAlign w:val="baseline"/>
                <w:lang w:val="en-US" w:eastAsia="zh-CN"/>
              </w:rPr>
            </w:pPr>
          </w:p>
        </w:tc>
        <w:tc>
          <w:tcPr>
            <w:tcW w:w="4643" w:type="dxa"/>
            <w:gridSpan w:val="4"/>
            <w:noWrap w:val="0"/>
            <w:vAlign w:val="center"/>
          </w:tcPr>
          <w:p w14:paraId="259650E1">
            <w:pPr>
              <w:keepNext w:val="0"/>
              <w:keepLines w:val="0"/>
              <w:suppressLineNumbers w:val="0"/>
              <w:spacing w:before="0" w:beforeAutospacing="0" w:after="0" w:afterAutospacing="0"/>
              <w:ind w:left="0" w:right="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项目团队工作态度、项目负责人沟通协调能力。（3分）</w:t>
            </w:r>
          </w:p>
        </w:tc>
        <w:tc>
          <w:tcPr>
            <w:tcW w:w="1687" w:type="dxa"/>
            <w:gridSpan w:val="3"/>
            <w:noWrap w:val="0"/>
            <w:vAlign w:val="top"/>
          </w:tcPr>
          <w:p w14:paraId="3D5853C5">
            <w:pPr>
              <w:keepNext w:val="0"/>
              <w:keepLines w:val="0"/>
              <w:suppressLineNumbers w:val="0"/>
              <w:spacing w:before="0" w:beforeAutospacing="0" w:after="0" w:afterAutospacing="0"/>
              <w:ind w:left="0" w:right="0" w:firstLine="240" w:firstLineChars="10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优秀:3分</w:t>
            </w:r>
          </w:p>
          <w:p w14:paraId="3980EC32">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一般:1-2分</w:t>
            </w:r>
          </w:p>
          <w:p w14:paraId="12B7FB28">
            <w:pPr>
              <w:keepNext w:val="0"/>
              <w:keepLines w:val="0"/>
              <w:suppressLineNumbers w:val="0"/>
              <w:spacing w:before="0" w:beforeAutospacing="0" w:after="0" w:afterAutospacing="0"/>
              <w:ind w:left="0" w:right="0" w:firstLine="240" w:firstLineChars="10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较差:0分</w:t>
            </w:r>
          </w:p>
        </w:tc>
        <w:tc>
          <w:tcPr>
            <w:tcW w:w="713" w:type="dxa"/>
            <w:gridSpan w:val="2"/>
            <w:noWrap w:val="0"/>
            <w:vAlign w:val="top"/>
          </w:tcPr>
          <w:p w14:paraId="5AFA8E78">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65CE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 w:type="dxa"/>
          <w:trHeight w:val="661" w:hRule="atLeast"/>
          <w:jc w:val="center"/>
        </w:trPr>
        <w:tc>
          <w:tcPr>
            <w:tcW w:w="1712" w:type="dxa"/>
            <w:gridSpan w:val="3"/>
            <w:vMerge w:val="continue"/>
            <w:noWrap w:val="0"/>
            <w:vAlign w:val="center"/>
          </w:tcPr>
          <w:p w14:paraId="0C7363F5">
            <w:pPr>
              <w:keepNext w:val="0"/>
              <w:keepLines w:val="0"/>
              <w:suppressLineNumbers w:val="0"/>
              <w:spacing w:before="0" w:beforeAutospacing="0" w:after="0" w:afterAutospacing="0"/>
              <w:ind w:left="0" w:right="0"/>
              <w:jc w:val="center"/>
              <w:rPr>
                <w:rFonts w:hint="eastAsia" w:ascii="黑体" w:hAnsi="黑体" w:eastAsia="黑体" w:cs="黑体"/>
                <w:sz w:val="24"/>
                <w:szCs w:val="24"/>
                <w:vertAlign w:val="baseline"/>
                <w:lang w:val="en-US" w:eastAsia="zh-CN"/>
              </w:rPr>
            </w:pPr>
          </w:p>
        </w:tc>
        <w:tc>
          <w:tcPr>
            <w:tcW w:w="4643" w:type="dxa"/>
            <w:gridSpan w:val="4"/>
            <w:noWrap w:val="0"/>
            <w:vAlign w:val="center"/>
          </w:tcPr>
          <w:p w14:paraId="2EACB25A">
            <w:pPr>
              <w:keepNext w:val="0"/>
              <w:keepLines w:val="0"/>
              <w:suppressLineNumbers w:val="0"/>
              <w:spacing w:before="0" w:beforeAutospacing="0" w:after="0" w:afterAutospacing="0"/>
              <w:ind w:left="0" w:right="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项目方案设计、计划安排情况。（3分）</w:t>
            </w:r>
          </w:p>
        </w:tc>
        <w:tc>
          <w:tcPr>
            <w:tcW w:w="1687" w:type="dxa"/>
            <w:gridSpan w:val="3"/>
            <w:noWrap w:val="0"/>
            <w:vAlign w:val="top"/>
          </w:tcPr>
          <w:p w14:paraId="6E8C0FC1">
            <w:pPr>
              <w:keepNext w:val="0"/>
              <w:keepLines w:val="0"/>
              <w:suppressLineNumbers w:val="0"/>
              <w:spacing w:before="0" w:beforeAutospacing="0" w:after="0" w:afterAutospacing="0"/>
              <w:ind w:left="0" w:right="0" w:firstLine="240" w:firstLineChars="10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优秀:3分</w:t>
            </w:r>
          </w:p>
          <w:p w14:paraId="56AE1B5E">
            <w:pPr>
              <w:keepNext w:val="0"/>
              <w:keepLines w:val="0"/>
              <w:suppressLineNumbers w:val="0"/>
              <w:spacing w:before="0" w:beforeAutospacing="0" w:after="0" w:afterAutospacing="0"/>
              <w:ind w:left="0" w:right="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一般:1-2分</w:t>
            </w:r>
          </w:p>
          <w:p w14:paraId="2F8736A5">
            <w:pPr>
              <w:keepNext w:val="0"/>
              <w:keepLines w:val="0"/>
              <w:suppressLineNumbers w:val="0"/>
              <w:spacing w:before="0" w:beforeAutospacing="0" w:after="0" w:afterAutospacing="0"/>
              <w:ind w:left="0" w:right="0" w:firstLine="240" w:firstLineChars="10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较差:0分</w:t>
            </w:r>
          </w:p>
        </w:tc>
        <w:tc>
          <w:tcPr>
            <w:tcW w:w="713" w:type="dxa"/>
            <w:gridSpan w:val="2"/>
            <w:noWrap w:val="0"/>
            <w:vAlign w:val="top"/>
          </w:tcPr>
          <w:p w14:paraId="002E1B62">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372E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 w:type="dxa"/>
          <w:trHeight w:val="661" w:hRule="atLeast"/>
          <w:jc w:val="center"/>
        </w:trPr>
        <w:tc>
          <w:tcPr>
            <w:tcW w:w="1712" w:type="dxa"/>
            <w:gridSpan w:val="3"/>
            <w:vMerge w:val="continue"/>
            <w:noWrap w:val="0"/>
            <w:vAlign w:val="center"/>
          </w:tcPr>
          <w:p w14:paraId="76120216">
            <w:pPr>
              <w:keepNext w:val="0"/>
              <w:keepLines w:val="0"/>
              <w:suppressLineNumbers w:val="0"/>
              <w:spacing w:before="0" w:beforeAutospacing="0" w:after="0" w:afterAutospacing="0"/>
              <w:ind w:left="0" w:right="0"/>
              <w:jc w:val="center"/>
              <w:rPr>
                <w:rFonts w:hint="eastAsia" w:ascii="黑体" w:hAnsi="黑体" w:eastAsia="黑体" w:cs="黑体"/>
                <w:sz w:val="24"/>
                <w:szCs w:val="24"/>
                <w:vertAlign w:val="baseline"/>
                <w:lang w:val="en-US" w:eastAsia="zh-CN"/>
              </w:rPr>
            </w:pPr>
          </w:p>
        </w:tc>
        <w:tc>
          <w:tcPr>
            <w:tcW w:w="4643" w:type="dxa"/>
            <w:gridSpan w:val="4"/>
            <w:noWrap w:val="0"/>
            <w:vAlign w:val="center"/>
          </w:tcPr>
          <w:p w14:paraId="067295E6">
            <w:pPr>
              <w:keepNext w:val="0"/>
              <w:keepLines w:val="0"/>
              <w:suppressLineNumbers w:val="0"/>
              <w:spacing w:before="0" w:beforeAutospacing="0" w:after="0" w:afterAutospacing="0"/>
              <w:ind w:left="0" w:right="0"/>
              <w:jc w:val="left"/>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评估人员对评估对象实施全面的评估核查程序，如各类资产实地调查、函证、查询、访谈等工作的尽责情况</w:t>
            </w:r>
            <w:r>
              <w:rPr>
                <w:rFonts w:hint="eastAsia" w:ascii="仿宋" w:hAnsi="仿宋" w:eastAsia="仿宋" w:cs="仿宋"/>
                <w:sz w:val="24"/>
                <w:szCs w:val="24"/>
                <w:vertAlign w:val="baseline"/>
                <w:lang w:val="en-US" w:eastAsia="zh-CN"/>
              </w:rPr>
              <w:t>。（5分）</w:t>
            </w:r>
          </w:p>
        </w:tc>
        <w:tc>
          <w:tcPr>
            <w:tcW w:w="1687" w:type="dxa"/>
            <w:gridSpan w:val="3"/>
            <w:noWrap w:val="0"/>
            <w:vAlign w:val="top"/>
          </w:tcPr>
          <w:p w14:paraId="38B88CC2">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优秀:4-5分</w:t>
            </w:r>
          </w:p>
          <w:p w14:paraId="48A3B96F">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一般:2-3分</w:t>
            </w:r>
          </w:p>
          <w:p w14:paraId="44025167">
            <w:pPr>
              <w:keepNext w:val="0"/>
              <w:keepLines w:val="0"/>
              <w:suppressLineNumbers w:val="0"/>
              <w:spacing w:before="0" w:beforeAutospacing="0" w:after="0" w:afterAutospacing="0"/>
              <w:ind w:left="0" w:right="0" w:firstLine="240" w:firstLineChars="10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较差:0-1分</w:t>
            </w:r>
          </w:p>
        </w:tc>
        <w:tc>
          <w:tcPr>
            <w:tcW w:w="713" w:type="dxa"/>
            <w:gridSpan w:val="2"/>
            <w:noWrap w:val="0"/>
            <w:vAlign w:val="top"/>
          </w:tcPr>
          <w:p w14:paraId="662CB67E">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4D96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 w:type="dxa"/>
          <w:trHeight w:val="661" w:hRule="atLeast"/>
          <w:jc w:val="center"/>
        </w:trPr>
        <w:tc>
          <w:tcPr>
            <w:tcW w:w="1712" w:type="dxa"/>
            <w:gridSpan w:val="3"/>
            <w:vMerge w:val="continue"/>
            <w:noWrap w:val="0"/>
            <w:vAlign w:val="top"/>
          </w:tcPr>
          <w:p w14:paraId="30A5758E">
            <w:pPr>
              <w:keepNext w:val="0"/>
              <w:keepLines w:val="0"/>
              <w:suppressLineNumbers w:val="0"/>
              <w:spacing w:before="0" w:beforeAutospacing="0" w:after="0" w:afterAutospacing="0"/>
              <w:ind w:left="0" w:right="0"/>
              <w:jc w:val="center"/>
              <w:rPr>
                <w:rFonts w:hint="eastAsia" w:ascii="黑体" w:hAnsi="黑体" w:eastAsia="黑体" w:cs="黑体"/>
                <w:sz w:val="24"/>
                <w:szCs w:val="24"/>
                <w:vertAlign w:val="baseline"/>
                <w:lang w:val="en-US" w:eastAsia="zh-CN"/>
              </w:rPr>
            </w:pPr>
          </w:p>
        </w:tc>
        <w:tc>
          <w:tcPr>
            <w:tcW w:w="4643" w:type="dxa"/>
            <w:gridSpan w:val="4"/>
            <w:noWrap w:val="0"/>
            <w:vAlign w:val="center"/>
          </w:tcPr>
          <w:p w14:paraId="3F93AA80">
            <w:pPr>
              <w:keepNext w:val="0"/>
              <w:keepLines w:val="0"/>
              <w:suppressLineNumbers w:val="0"/>
              <w:spacing w:before="0" w:beforeAutospacing="0" w:after="0" w:afterAutospacing="0"/>
              <w:ind w:left="0" w:right="0"/>
              <w:jc w:val="left"/>
              <w:rPr>
                <w:rFonts w:hint="eastAsia" w:ascii="黑体" w:hAnsi="黑体" w:eastAsia="黑体" w:cs="黑体"/>
                <w:sz w:val="24"/>
                <w:szCs w:val="24"/>
                <w:vertAlign w:val="baseline"/>
                <w:lang w:val="en-US" w:eastAsia="zh-CN"/>
              </w:rPr>
            </w:pPr>
            <w:r>
              <w:rPr>
                <w:rFonts w:hint="eastAsia" w:ascii="仿宋" w:hAnsi="仿宋" w:eastAsia="仿宋" w:cs="仿宋"/>
                <w:sz w:val="24"/>
                <w:szCs w:val="24"/>
                <w:vertAlign w:val="baseline"/>
                <w:lang w:val="en-US" w:eastAsia="zh-CN"/>
              </w:rPr>
              <w:t>出具评估报告的及时性</w:t>
            </w:r>
            <w:r>
              <w:rPr>
                <w:rFonts w:hint="eastAsia" w:ascii="黑体" w:hAnsi="黑体" w:eastAsia="黑体" w:cs="黑体"/>
                <w:sz w:val="24"/>
                <w:szCs w:val="24"/>
                <w:vertAlign w:val="baseline"/>
                <w:lang w:val="en-US" w:eastAsia="zh-CN"/>
              </w:rPr>
              <w:t>。</w:t>
            </w:r>
            <w:r>
              <w:rPr>
                <w:rFonts w:hint="eastAsia" w:ascii="仿宋" w:hAnsi="仿宋" w:eastAsia="仿宋" w:cs="仿宋"/>
                <w:sz w:val="24"/>
                <w:szCs w:val="24"/>
                <w:vertAlign w:val="baseline"/>
                <w:lang w:val="en-US" w:eastAsia="zh-CN"/>
              </w:rPr>
              <w:t>（2分）</w:t>
            </w:r>
          </w:p>
        </w:tc>
        <w:tc>
          <w:tcPr>
            <w:tcW w:w="1687" w:type="dxa"/>
            <w:gridSpan w:val="3"/>
            <w:noWrap w:val="0"/>
            <w:vAlign w:val="top"/>
          </w:tcPr>
          <w:p w14:paraId="227454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及时:2分</w:t>
            </w:r>
          </w:p>
          <w:p w14:paraId="35046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hAnsi="黑体" w:eastAsia="黑体" w:cs="黑体"/>
                <w:sz w:val="32"/>
                <w:szCs w:val="32"/>
                <w:vertAlign w:val="baseline"/>
                <w:lang w:val="en-US" w:eastAsia="zh-CN"/>
              </w:rPr>
            </w:pPr>
            <w:r>
              <w:rPr>
                <w:rFonts w:hint="eastAsia" w:ascii="仿宋" w:hAnsi="仿宋" w:eastAsia="仿宋" w:cs="仿宋"/>
                <w:sz w:val="24"/>
                <w:szCs w:val="24"/>
                <w:vertAlign w:val="baseline"/>
                <w:lang w:val="en-US" w:eastAsia="zh-CN"/>
              </w:rPr>
              <w:t>不及时:0分</w:t>
            </w:r>
          </w:p>
        </w:tc>
        <w:tc>
          <w:tcPr>
            <w:tcW w:w="713" w:type="dxa"/>
            <w:gridSpan w:val="2"/>
            <w:noWrap w:val="0"/>
            <w:vAlign w:val="top"/>
          </w:tcPr>
          <w:p w14:paraId="3E347863">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4661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 w:type="dxa"/>
          <w:trHeight w:val="661" w:hRule="atLeast"/>
          <w:jc w:val="center"/>
        </w:trPr>
        <w:tc>
          <w:tcPr>
            <w:tcW w:w="1712" w:type="dxa"/>
            <w:gridSpan w:val="3"/>
            <w:vMerge w:val="continue"/>
            <w:noWrap w:val="0"/>
            <w:vAlign w:val="top"/>
          </w:tcPr>
          <w:p w14:paraId="72539411">
            <w:pPr>
              <w:keepNext w:val="0"/>
              <w:keepLines w:val="0"/>
              <w:suppressLineNumbers w:val="0"/>
              <w:spacing w:before="0" w:beforeAutospacing="0" w:after="0" w:afterAutospacing="0"/>
              <w:ind w:left="0" w:right="0"/>
              <w:jc w:val="center"/>
              <w:rPr>
                <w:rFonts w:hint="eastAsia" w:ascii="黑体" w:hAnsi="黑体" w:eastAsia="黑体" w:cs="黑体"/>
                <w:sz w:val="24"/>
                <w:szCs w:val="24"/>
                <w:vertAlign w:val="baseline"/>
                <w:lang w:val="en-US" w:eastAsia="zh-CN"/>
              </w:rPr>
            </w:pPr>
          </w:p>
        </w:tc>
        <w:tc>
          <w:tcPr>
            <w:tcW w:w="4643" w:type="dxa"/>
            <w:gridSpan w:val="4"/>
            <w:noWrap w:val="0"/>
            <w:vAlign w:val="center"/>
          </w:tcPr>
          <w:p w14:paraId="73737445">
            <w:pPr>
              <w:keepNext w:val="0"/>
              <w:keepLines w:val="0"/>
              <w:suppressLineNumbers w:val="0"/>
              <w:spacing w:before="0" w:beforeAutospacing="0" w:after="0" w:afterAutospacing="0"/>
              <w:ind w:left="0" w:right="0"/>
              <w:jc w:val="left"/>
              <w:rPr>
                <w:rFonts w:hint="eastAsia" w:ascii="黑体" w:hAnsi="黑体" w:eastAsia="黑体" w:cs="黑体"/>
                <w:sz w:val="24"/>
                <w:szCs w:val="24"/>
                <w:vertAlign w:val="baseline"/>
                <w:lang w:val="en-US" w:eastAsia="zh-CN"/>
              </w:rPr>
            </w:pPr>
            <w:r>
              <w:rPr>
                <w:rFonts w:hint="eastAsia" w:ascii="仿宋" w:hAnsi="仿宋" w:eastAsia="仿宋" w:cs="仿宋"/>
                <w:sz w:val="24"/>
                <w:szCs w:val="24"/>
                <w:vertAlign w:val="baseline"/>
                <w:lang w:val="en-US" w:eastAsia="zh-CN"/>
              </w:rPr>
              <w:t>审核意见答复及时性及质量</w:t>
            </w:r>
            <w:r>
              <w:rPr>
                <w:rFonts w:hint="eastAsia" w:ascii="黑体" w:hAnsi="黑体" w:eastAsia="黑体" w:cs="黑体"/>
                <w:sz w:val="24"/>
                <w:szCs w:val="24"/>
                <w:vertAlign w:val="baseline"/>
                <w:lang w:val="en-US" w:eastAsia="zh-CN"/>
              </w:rPr>
              <w:t>。</w:t>
            </w:r>
            <w:r>
              <w:rPr>
                <w:rFonts w:hint="eastAsia" w:ascii="仿宋" w:hAnsi="仿宋" w:eastAsia="仿宋" w:cs="仿宋"/>
                <w:sz w:val="24"/>
                <w:szCs w:val="24"/>
                <w:vertAlign w:val="baseline"/>
                <w:lang w:val="en-US" w:eastAsia="zh-CN"/>
              </w:rPr>
              <w:t>（5分）</w:t>
            </w:r>
          </w:p>
        </w:tc>
        <w:tc>
          <w:tcPr>
            <w:tcW w:w="1687" w:type="dxa"/>
            <w:gridSpan w:val="3"/>
            <w:noWrap w:val="0"/>
            <w:vAlign w:val="top"/>
          </w:tcPr>
          <w:p w14:paraId="7C0EA6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优秀:4-5分</w:t>
            </w:r>
          </w:p>
          <w:p w14:paraId="39CD79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一般:2-3分</w:t>
            </w:r>
          </w:p>
          <w:p w14:paraId="02CEA3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hAnsi="黑体" w:eastAsia="黑体" w:cs="黑体"/>
                <w:sz w:val="32"/>
                <w:szCs w:val="32"/>
                <w:vertAlign w:val="baseline"/>
                <w:lang w:val="en-US" w:eastAsia="zh-CN"/>
              </w:rPr>
            </w:pPr>
            <w:r>
              <w:rPr>
                <w:rFonts w:hint="eastAsia" w:ascii="仿宋" w:hAnsi="仿宋" w:eastAsia="仿宋" w:cs="仿宋"/>
                <w:sz w:val="24"/>
                <w:szCs w:val="24"/>
                <w:vertAlign w:val="baseline"/>
                <w:lang w:val="en-US" w:eastAsia="zh-CN"/>
              </w:rPr>
              <w:t>较差:0-1分</w:t>
            </w:r>
          </w:p>
        </w:tc>
        <w:tc>
          <w:tcPr>
            <w:tcW w:w="713" w:type="dxa"/>
            <w:gridSpan w:val="2"/>
            <w:noWrap w:val="0"/>
            <w:vAlign w:val="top"/>
          </w:tcPr>
          <w:p w14:paraId="23DCE53A">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7D3A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1" w:type="dxa"/>
          <w:jc w:val="center"/>
        </w:trPr>
        <w:tc>
          <w:tcPr>
            <w:tcW w:w="1455" w:type="dxa"/>
            <w:vMerge w:val="restart"/>
            <w:noWrap w:val="0"/>
            <w:vAlign w:val="center"/>
          </w:tcPr>
          <w:p w14:paraId="54063316">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评估报告质量评价（80分）</w:t>
            </w:r>
          </w:p>
        </w:tc>
        <w:tc>
          <w:tcPr>
            <w:tcW w:w="1458" w:type="dxa"/>
            <w:gridSpan w:val="3"/>
            <w:vMerge w:val="restart"/>
            <w:noWrap w:val="0"/>
            <w:vAlign w:val="center"/>
          </w:tcPr>
          <w:p w14:paraId="6842F53D">
            <w:pPr>
              <w:keepNext w:val="0"/>
              <w:keepLines w:val="0"/>
              <w:suppressLineNumbers w:val="0"/>
              <w:spacing w:before="0" w:beforeAutospacing="0" w:after="0" w:afterAutospacing="0"/>
              <w:ind w:left="0" w:right="0"/>
              <w:jc w:val="left"/>
              <w:rPr>
                <w:rFonts w:hint="eastAsia" w:ascii="仿宋" w:hAnsi="仿宋" w:eastAsia="仿宋" w:cs="仿宋"/>
                <w:sz w:val="28"/>
                <w:szCs w:val="28"/>
                <w:vertAlign w:val="baseline"/>
                <w:lang w:val="en-US" w:eastAsia="zh-CN"/>
              </w:rPr>
            </w:pPr>
            <w:r>
              <w:rPr>
                <w:rFonts w:hint="eastAsia" w:ascii="黑体" w:hAnsi="黑体" w:eastAsia="黑体" w:cs="黑体"/>
                <w:sz w:val="24"/>
                <w:szCs w:val="24"/>
                <w:vertAlign w:val="baseline"/>
                <w:lang w:val="en-US" w:eastAsia="zh-CN"/>
              </w:rPr>
              <w:t>评估报告内容的完整性、合理性（22分）</w:t>
            </w:r>
          </w:p>
        </w:tc>
        <w:tc>
          <w:tcPr>
            <w:tcW w:w="3766" w:type="dxa"/>
            <w:gridSpan w:val="4"/>
            <w:noWrap w:val="0"/>
            <w:vAlign w:val="center"/>
          </w:tcPr>
          <w:p w14:paraId="7F98A436">
            <w:pPr>
              <w:keepNext w:val="0"/>
              <w:keepLines w:val="0"/>
              <w:suppressLineNumbers w:val="0"/>
              <w:spacing w:before="0" w:beforeAutospacing="0" w:after="0" w:afterAutospacing="0"/>
              <w:ind w:left="0" w:right="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评估报告、评估说明、评估明细表、利用专业报告是否齐全,特别是</w:t>
            </w:r>
            <w:r>
              <w:rPr>
                <w:rFonts w:hint="eastAsia" w:ascii="仿宋" w:hAnsi="仿宋" w:eastAsia="仿宋" w:cs="仿宋"/>
                <w:sz w:val="24"/>
                <w:szCs w:val="24"/>
              </w:rPr>
              <w:t>收益法</w:t>
            </w:r>
            <w:r>
              <w:rPr>
                <w:rFonts w:hint="eastAsia" w:ascii="仿宋" w:hAnsi="仿宋" w:eastAsia="仿宋" w:cs="仿宋"/>
                <w:sz w:val="24"/>
                <w:szCs w:val="24"/>
                <w:lang w:eastAsia="zh-CN"/>
              </w:rPr>
              <w:t>预测</w:t>
            </w:r>
            <w:r>
              <w:rPr>
                <w:rFonts w:hint="eastAsia" w:ascii="仿宋" w:hAnsi="仿宋" w:eastAsia="仿宋" w:cs="仿宋"/>
                <w:sz w:val="24"/>
                <w:szCs w:val="24"/>
              </w:rPr>
              <w:t>表</w:t>
            </w:r>
            <w:r>
              <w:rPr>
                <w:rFonts w:hint="eastAsia" w:ascii="仿宋" w:hAnsi="仿宋" w:eastAsia="仿宋" w:cs="仿宋"/>
                <w:sz w:val="24"/>
                <w:szCs w:val="24"/>
                <w:lang w:eastAsia="zh-CN"/>
              </w:rPr>
              <w:t>是否</w:t>
            </w:r>
            <w:r>
              <w:rPr>
                <w:rFonts w:hint="eastAsia" w:ascii="仿宋" w:hAnsi="仿宋" w:eastAsia="仿宋" w:cs="仿宋"/>
                <w:sz w:val="24"/>
                <w:szCs w:val="24"/>
              </w:rPr>
              <w:t>完整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2分）</w:t>
            </w:r>
          </w:p>
        </w:tc>
        <w:tc>
          <w:tcPr>
            <w:tcW w:w="1692" w:type="dxa"/>
            <w:gridSpan w:val="2"/>
            <w:noWrap w:val="0"/>
            <w:vAlign w:val="center"/>
          </w:tcPr>
          <w:p w14:paraId="4F12AEDC">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完整:2分</w:t>
            </w:r>
          </w:p>
          <w:p w14:paraId="34431DEF">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r>
              <w:rPr>
                <w:rFonts w:hint="eastAsia" w:ascii="仿宋" w:hAnsi="仿宋" w:eastAsia="仿宋" w:cs="仿宋"/>
                <w:sz w:val="24"/>
                <w:szCs w:val="24"/>
                <w:vertAlign w:val="baseline"/>
                <w:lang w:val="en-US" w:eastAsia="zh-CN"/>
              </w:rPr>
              <w:t>不完整:0-1分</w:t>
            </w:r>
          </w:p>
        </w:tc>
        <w:tc>
          <w:tcPr>
            <w:tcW w:w="648" w:type="dxa"/>
            <w:gridSpan w:val="2"/>
            <w:noWrap w:val="0"/>
            <w:vAlign w:val="top"/>
          </w:tcPr>
          <w:p w14:paraId="31715046">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1D9F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1" w:type="dxa"/>
          <w:jc w:val="center"/>
        </w:trPr>
        <w:tc>
          <w:tcPr>
            <w:tcW w:w="1455" w:type="dxa"/>
            <w:vMerge w:val="continue"/>
            <w:noWrap w:val="0"/>
            <w:vAlign w:val="center"/>
          </w:tcPr>
          <w:p w14:paraId="64239B6F">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c>
          <w:tcPr>
            <w:tcW w:w="1458" w:type="dxa"/>
            <w:gridSpan w:val="3"/>
            <w:vMerge w:val="continue"/>
            <w:noWrap w:val="0"/>
            <w:vAlign w:val="center"/>
          </w:tcPr>
          <w:p w14:paraId="41FA5136">
            <w:pPr>
              <w:keepNext w:val="0"/>
              <w:keepLines w:val="0"/>
              <w:suppressLineNumbers w:val="0"/>
              <w:spacing w:before="0" w:beforeAutospacing="0" w:after="0" w:afterAutospacing="0"/>
              <w:ind w:left="0" w:right="0"/>
              <w:jc w:val="left"/>
              <w:rPr>
                <w:rFonts w:hint="eastAsia" w:ascii="仿宋" w:hAnsi="仿宋" w:eastAsia="仿宋" w:cs="仿宋"/>
                <w:sz w:val="28"/>
                <w:szCs w:val="28"/>
                <w:vertAlign w:val="baseline"/>
                <w:lang w:val="en-US" w:eastAsia="zh-CN"/>
              </w:rPr>
            </w:pPr>
          </w:p>
        </w:tc>
        <w:tc>
          <w:tcPr>
            <w:tcW w:w="3766" w:type="dxa"/>
            <w:gridSpan w:val="4"/>
            <w:noWrap w:val="0"/>
            <w:vAlign w:val="top"/>
          </w:tcPr>
          <w:p w14:paraId="29D6702A">
            <w:pPr>
              <w:keepNext w:val="0"/>
              <w:keepLines w:val="0"/>
              <w:suppressLineNumbers w:val="0"/>
              <w:spacing w:before="0" w:beforeAutospacing="0" w:after="0" w:afterAutospacing="0"/>
              <w:ind w:left="0" w:right="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估报告内容是否包含：声明、摘要、正文、附件等内容，签字盖章是否完整，附件是否完整，包括经济行为决策文件、审计报告、企业营业执照、企业产权登记证、委托方及被评估企业承诺函、相关资产权属证明文件、评估师承诺函、评估机构备案公告、营业执照、评估师资质证明、委托合同等内容。（4分）</w:t>
            </w:r>
          </w:p>
        </w:tc>
        <w:tc>
          <w:tcPr>
            <w:tcW w:w="1692" w:type="dxa"/>
            <w:gridSpan w:val="2"/>
            <w:noWrap w:val="0"/>
            <w:vAlign w:val="center"/>
          </w:tcPr>
          <w:p w14:paraId="38D0F66F">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完整:4分</w:t>
            </w:r>
          </w:p>
          <w:p w14:paraId="58F832A8">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一般:2-3分</w:t>
            </w:r>
          </w:p>
          <w:p w14:paraId="532DCD71">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r>
              <w:rPr>
                <w:rFonts w:hint="eastAsia" w:ascii="仿宋" w:hAnsi="仿宋" w:eastAsia="仿宋" w:cs="仿宋"/>
                <w:sz w:val="24"/>
                <w:szCs w:val="24"/>
                <w:vertAlign w:val="baseline"/>
                <w:lang w:val="en-US" w:eastAsia="zh-CN"/>
              </w:rPr>
              <w:t>较差:0-1分</w:t>
            </w:r>
          </w:p>
        </w:tc>
        <w:tc>
          <w:tcPr>
            <w:tcW w:w="648" w:type="dxa"/>
            <w:gridSpan w:val="2"/>
            <w:noWrap w:val="0"/>
            <w:vAlign w:val="top"/>
          </w:tcPr>
          <w:p w14:paraId="1B01CE69">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4015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1" w:type="dxa"/>
          <w:jc w:val="center"/>
        </w:trPr>
        <w:tc>
          <w:tcPr>
            <w:tcW w:w="1455" w:type="dxa"/>
            <w:vMerge w:val="continue"/>
            <w:noWrap w:val="0"/>
            <w:vAlign w:val="center"/>
          </w:tcPr>
          <w:p w14:paraId="0AB618CB">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c>
          <w:tcPr>
            <w:tcW w:w="1458" w:type="dxa"/>
            <w:gridSpan w:val="3"/>
            <w:vMerge w:val="continue"/>
            <w:noWrap w:val="0"/>
            <w:vAlign w:val="top"/>
          </w:tcPr>
          <w:p w14:paraId="51A3D36F">
            <w:pPr>
              <w:keepNext w:val="0"/>
              <w:keepLines w:val="0"/>
              <w:suppressLineNumbers w:val="0"/>
              <w:spacing w:before="0" w:beforeAutospacing="0" w:after="0" w:afterAutospacing="0"/>
              <w:ind w:left="0" w:right="0"/>
              <w:jc w:val="left"/>
              <w:rPr>
                <w:rFonts w:hint="eastAsia" w:ascii="仿宋" w:hAnsi="仿宋" w:eastAsia="仿宋" w:cs="仿宋"/>
                <w:sz w:val="28"/>
                <w:szCs w:val="28"/>
                <w:vertAlign w:val="baseline"/>
                <w:lang w:val="en-US" w:eastAsia="zh-CN"/>
              </w:rPr>
            </w:pPr>
          </w:p>
        </w:tc>
        <w:tc>
          <w:tcPr>
            <w:tcW w:w="3766" w:type="dxa"/>
            <w:gridSpan w:val="4"/>
            <w:noWrap w:val="0"/>
            <w:vAlign w:val="top"/>
          </w:tcPr>
          <w:p w14:paraId="3D7141B5">
            <w:pPr>
              <w:keepNext w:val="0"/>
              <w:keepLines w:val="0"/>
              <w:suppressLineNumbers w:val="0"/>
              <w:spacing w:before="0" w:beforeAutospacing="0" w:after="0" w:afterAutospacing="0"/>
              <w:ind w:left="0" w:right="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评估方法的选取是否合理，是否采用两种方法进行评估，如果只采用一种评估方法，理由是否充分合理。（4分）</w:t>
            </w:r>
          </w:p>
        </w:tc>
        <w:tc>
          <w:tcPr>
            <w:tcW w:w="1692" w:type="dxa"/>
            <w:gridSpan w:val="2"/>
            <w:noWrap w:val="0"/>
            <w:vAlign w:val="center"/>
          </w:tcPr>
          <w:p w14:paraId="5A41D8D7">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合理:4分</w:t>
            </w:r>
          </w:p>
          <w:p w14:paraId="7D82AE6B">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r>
              <w:rPr>
                <w:rFonts w:hint="eastAsia" w:ascii="仿宋" w:hAnsi="仿宋" w:eastAsia="仿宋" w:cs="仿宋"/>
                <w:sz w:val="24"/>
                <w:szCs w:val="24"/>
                <w:vertAlign w:val="baseline"/>
                <w:lang w:val="en-US" w:eastAsia="zh-CN"/>
              </w:rPr>
              <w:t>不合理:0分</w:t>
            </w:r>
          </w:p>
        </w:tc>
        <w:tc>
          <w:tcPr>
            <w:tcW w:w="648" w:type="dxa"/>
            <w:gridSpan w:val="2"/>
            <w:noWrap w:val="0"/>
            <w:vAlign w:val="top"/>
          </w:tcPr>
          <w:p w14:paraId="218E16DE">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5CC8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1" w:type="dxa"/>
          <w:jc w:val="center"/>
        </w:trPr>
        <w:tc>
          <w:tcPr>
            <w:tcW w:w="1455" w:type="dxa"/>
            <w:vMerge w:val="continue"/>
            <w:noWrap w:val="0"/>
            <w:vAlign w:val="center"/>
          </w:tcPr>
          <w:p w14:paraId="33425D6F">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c>
          <w:tcPr>
            <w:tcW w:w="1458" w:type="dxa"/>
            <w:gridSpan w:val="3"/>
            <w:vMerge w:val="continue"/>
            <w:noWrap w:val="0"/>
            <w:vAlign w:val="top"/>
          </w:tcPr>
          <w:p w14:paraId="60BDE982">
            <w:pPr>
              <w:keepNext w:val="0"/>
              <w:keepLines w:val="0"/>
              <w:suppressLineNumbers w:val="0"/>
              <w:spacing w:before="0" w:beforeAutospacing="0" w:after="0" w:afterAutospacing="0"/>
              <w:ind w:left="0" w:right="0"/>
              <w:jc w:val="left"/>
              <w:rPr>
                <w:rFonts w:hint="eastAsia" w:ascii="仿宋" w:hAnsi="仿宋" w:eastAsia="仿宋" w:cs="仿宋"/>
                <w:sz w:val="28"/>
                <w:szCs w:val="28"/>
                <w:vertAlign w:val="baseline"/>
                <w:lang w:val="en-US" w:eastAsia="zh-CN"/>
              </w:rPr>
            </w:pPr>
          </w:p>
        </w:tc>
        <w:tc>
          <w:tcPr>
            <w:tcW w:w="3766" w:type="dxa"/>
            <w:gridSpan w:val="4"/>
            <w:noWrap w:val="0"/>
            <w:vAlign w:val="top"/>
          </w:tcPr>
          <w:p w14:paraId="5F876D4C">
            <w:pPr>
              <w:keepNext w:val="0"/>
              <w:keepLines w:val="0"/>
              <w:suppressLineNumbers w:val="0"/>
              <w:spacing w:before="0" w:beforeAutospacing="0" w:after="0" w:afterAutospacing="0"/>
              <w:ind w:left="0" w:right="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评估程序是否履行到位，是否存在评估程序受限制情况，如果存在，是否实施了替代程序，对评估结果是否有重大影响。（4分）</w:t>
            </w:r>
          </w:p>
        </w:tc>
        <w:tc>
          <w:tcPr>
            <w:tcW w:w="1692" w:type="dxa"/>
            <w:gridSpan w:val="2"/>
            <w:noWrap w:val="0"/>
            <w:vAlign w:val="center"/>
          </w:tcPr>
          <w:p w14:paraId="67C8477F">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优秀:4分</w:t>
            </w:r>
          </w:p>
          <w:p w14:paraId="59C59EC1">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一般:2-3分</w:t>
            </w:r>
          </w:p>
          <w:p w14:paraId="0F86A6FB">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r>
              <w:rPr>
                <w:rFonts w:hint="eastAsia" w:ascii="仿宋" w:hAnsi="仿宋" w:eastAsia="仿宋" w:cs="仿宋"/>
                <w:sz w:val="24"/>
                <w:szCs w:val="24"/>
                <w:vertAlign w:val="baseline"/>
                <w:lang w:val="en-US" w:eastAsia="zh-CN"/>
              </w:rPr>
              <w:t>较差:0-1分</w:t>
            </w:r>
          </w:p>
        </w:tc>
        <w:tc>
          <w:tcPr>
            <w:tcW w:w="648" w:type="dxa"/>
            <w:gridSpan w:val="2"/>
            <w:noWrap w:val="0"/>
            <w:vAlign w:val="top"/>
          </w:tcPr>
          <w:p w14:paraId="5A2EAAE8">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74C8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1" w:type="dxa"/>
          <w:jc w:val="center"/>
        </w:trPr>
        <w:tc>
          <w:tcPr>
            <w:tcW w:w="1455" w:type="dxa"/>
            <w:vMerge w:val="continue"/>
            <w:noWrap w:val="0"/>
            <w:vAlign w:val="top"/>
          </w:tcPr>
          <w:p w14:paraId="19DC1DB2">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c>
          <w:tcPr>
            <w:tcW w:w="1458" w:type="dxa"/>
            <w:gridSpan w:val="3"/>
            <w:vMerge w:val="continue"/>
            <w:noWrap w:val="0"/>
            <w:vAlign w:val="top"/>
          </w:tcPr>
          <w:p w14:paraId="1C3A0F7A">
            <w:pPr>
              <w:keepNext w:val="0"/>
              <w:keepLines w:val="0"/>
              <w:suppressLineNumbers w:val="0"/>
              <w:spacing w:before="0" w:beforeAutospacing="0" w:after="0" w:afterAutospacing="0"/>
              <w:ind w:left="0" w:right="0"/>
              <w:jc w:val="left"/>
              <w:rPr>
                <w:rFonts w:hint="eastAsia" w:ascii="仿宋" w:hAnsi="仿宋" w:eastAsia="仿宋" w:cs="仿宋"/>
                <w:sz w:val="28"/>
                <w:szCs w:val="28"/>
                <w:vertAlign w:val="baseline"/>
                <w:lang w:val="en-US" w:eastAsia="zh-CN"/>
              </w:rPr>
            </w:pPr>
          </w:p>
        </w:tc>
        <w:tc>
          <w:tcPr>
            <w:tcW w:w="3766" w:type="dxa"/>
            <w:gridSpan w:val="4"/>
            <w:noWrap w:val="0"/>
            <w:vAlign w:val="top"/>
          </w:tcPr>
          <w:p w14:paraId="2FC7C9C8">
            <w:pPr>
              <w:keepNext w:val="0"/>
              <w:keepLines w:val="0"/>
              <w:suppressLineNumbers w:val="0"/>
              <w:spacing w:before="0" w:beforeAutospacing="0" w:after="0" w:afterAutospacing="0"/>
              <w:ind w:left="0" w:right="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评估结论的选择是否符合评估对象的特点，是否能公允反映评估对象的价值。（4分）</w:t>
            </w:r>
          </w:p>
        </w:tc>
        <w:tc>
          <w:tcPr>
            <w:tcW w:w="1692" w:type="dxa"/>
            <w:gridSpan w:val="2"/>
            <w:noWrap w:val="0"/>
            <w:vAlign w:val="center"/>
          </w:tcPr>
          <w:p w14:paraId="079A4C70">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合理:4分</w:t>
            </w:r>
          </w:p>
          <w:p w14:paraId="64C43797">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r>
              <w:rPr>
                <w:rFonts w:hint="eastAsia" w:ascii="仿宋" w:hAnsi="仿宋" w:eastAsia="仿宋" w:cs="仿宋"/>
                <w:sz w:val="24"/>
                <w:szCs w:val="24"/>
                <w:vertAlign w:val="baseline"/>
                <w:lang w:val="en-US" w:eastAsia="zh-CN"/>
              </w:rPr>
              <w:t>不合理:0分</w:t>
            </w:r>
          </w:p>
        </w:tc>
        <w:tc>
          <w:tcPr>
            <w:tcW w:w="648" w:type="dxa"/>
            <w:gridSpan w:val="2"/>
            <w:noWrap w:val="0"/>
            <w:vAlign w:val="top"/>
          </w:tcPr>
          <w:p w14:paraId="2A83A2EA">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5A02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1" w:type="dxa"/>
          <w:jc w:val="center"/>
        </w:trPr>
        <w:tc>
          <w:tcPr>
            <w:tcW w:w="1455" w:type="dxa"/>
            <w:vMerge w:val="continue"/>
            <w:noWrap w:val="0"/>
            <w:vAlign w:val="top"/>
          </w:tcPr>
          <w:p w14:paraId="3A9F9909">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c>
          <w:tcPr>
            <w:tcW w:w="1458" w:type="dxa"/>
            <w:gridSpan w:val="3"/>
            <w:vMerge w:val="continue"/>
            <w:noWrap w:val="0"/>
            <w:vAlign w:val="top"/>
          </w:tcPr>
          <w:p w14:paraId="092FC857">
            <w:pPr>
              <w:keepNext w:val="0"/>
              <w:keepLines w:val="0"/>
              <w:suppressLineNumbers w:val="0"/>
              <w:spacing w:before="0" w:beforeAutospacing="0" w:after="0" w:afterAutospacing="0"/>
              <w:ind w:left="0" w:right="0"/>
              <w:jc w:val="left"/>
              <w:rPr>
                <w:rFonts w:hint="eastAsia" w:ascii="仿宋" w:hAnsi="仿宋" w:eastAsia="仿宋" w:cs="仿宋"/>
                <w:sz w:val="28"/>
                <w:szCs w:val="28"/>
                <w:vertAlign w:val="baseline"/>
                <w:lang w:val="en-US" w:eastAsia="zh-CN"/>
              </w:rPr>
            </w:pPr>
          </w:p>
        </w:tc>
        <w:tc>
          <w:tcPr>
            <w:tcW w:w="3766" w:type="dxa"/>
            <w:gridSpan w:val="4"/>
            <w:noWrap w:val="0"/>
            <w:vAlign w:val="top"/>
          </w:tcPr>
          <w:p w14:paraId="417116D4">
            <w:pPr>
              <w:keepNext w:val="0"/>
              <w:keepLines w:val="0"/>
              <w:suppressLineNumbers w:val="0"/>
              <w:spacing w:before="0" w:beforeAutospacing="0" w:after="0" w:afterAutospacing="0"/>
              <w:ind w:left="0" w:right="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特别事项说明是否准确、完整，是否存在对评估结果有重大影响的特别事项仅披露，不做对评估结果影响的判断。（4分）</w:t>
            </w:r>
          </w:p>
        </w:tc>
        <w:tc>
          <w:tcPr>
            <w:tcW w:w="1692" w:type="dxa"/>
            <w:gridSpan w:val="2"/>
            <w:noWrap w:val="0"/>
            <w:vAlign w:val="center"/>
          </w:tcPr>
          <w:p w14:paraId="4FF99932">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优秀:4分</w:t>
            </w:r>
          </w:p>
          <w:p w14:paraId="48ED4691">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一般:2-3分</w:t>
            </w:r>
          </w:p>
          <w:p w14:paraId="5163264E">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r>
              <w:rPr>
                <w:rFonts w:hint="eastAsia" w:ascii="仿宋" w:hAnsi="仿宋" w:eastAsia="仿宋" w:cs="仿宋"/>
                <w:sz w:val="24"/>
                <w:szCs w:val="24"/>
                <w:vertAlign w:val="baseline"/>
                <w:lang w:val="en-US" w:eastAsia="zh-CN"/>
              </w:rPr>
              <w:t>较差:0-1分</w:t>
            </w:r>
          </w:p>
        </w:tc>
        <w:tc>
          <w:tcPr>
            <w:tcW w:w="648" w:type="dxa"/>
            <w:gridSpan w:val="2"/>
            <w:noWrap w:val="0"/>
            <w:vAlign w:val="top"/>
          </w:tcPr>
          <w:p w14:paraId="535D6115">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46E7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1" w:type="dxa"/>
          <w:trHeight w:val="529" w:hRule="atLeast"/>
          <w:jc w:val="center"/>
        </w:trPr>
        <w:tc>
          <w:tcPr>
            <w:tcW w:w="1455" w:type="dxa"/>
            <w:vMerge w:val="continue"/>
            <w:noWrap w:val="0"/>
            <w:vAlign w:val="top"/>
          </w:tcPr>
          <w:p w14:paraId="36CAB718">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c>
          <w:tcPr>
            <w:tcW w:w="1458" w:type="dxa"/>
            <w:gridSpan w:val="3"/>
            <w:vMerge w:val="restart"/>
            <w:noWrap w:val="0"/>
            <w:vAlign w:val="center"/>
          </w:tcPr>
          <w:p w14:paraId="7228B9CF">
            <w:pPr>
              <w:keepNext w:val="0"/>
              <w:keepLines w:val="0"/>
              <w:suppressLineNumbers w:val="0"/>
              <w:spacing w:before="0" w:beforeAutospacing="0" w:after="0" w:afterAutospacing="0"/>
              <w:ind w:left="0" w:right="0"/>
              <w:jc w:val="left"/>
              <w:rPr>
                <w:rFonts w:hint="eastAsia" w:ascii="黑体" w:hAnsi="黑体" w:eastAsia="黑体" w:cs="黑体"/>
                <w:sz w:val="32"/>
                <w:szCs w:val="32"/>
                <w:lang w:val="en-US" w:eastAsia="zh-CN"/>
              </w:rPr>
            </w:pPr>
            <w:r>
              <w:rPr>
                <w:rFonts w:hint="eastAsia" w:ascii="黑体" w:hAnsi="黑体" w:eastAsia="黑体" w:cs="黑体"/>
                <w:sz w:val="24"/>
                <w:szCs w:val="24"/>
                <w:vertAlign w:val="baseline"/>
                <w:lang w:val="en-US" w:eastAsia="zh-CN"/>
              </w:rPr>
              <w:t>评估说明内容的完整性、合理性（45分）</w:t>
            </w:r>
          </w:p>
          <w:p w14:paraId="0C29BBE5">
            <w:pPr>
              <w:keepNext w:val="0"/>
              <w:keepLines w:val="0"/>
              <w:suppressLineNumbers w:val="0"/>
              <w:spacing w:before="0" w:beforeAutospacing="0" w:after="0" w:afterAutospacing="0"/>
              <w:ind w:left="0" w:right="0"/>
              <w:jc w:val="left"/>
              <w:rPr>
                <w:rFonts w:hint="eastAsia" w:ascii="仿宋" w:hAnsi="仿宋" w:eastAsia="仿宋" w:cs="仿宋"/>
                <w:sz w:val="28"/>
                <w:szCs w:val="28"/>
                <w:vertAlign w:val="baseline"/>
                <w:lang w:val="en-US" w:eastAsia="zh-CN"/>
              </w:rPr>
            </w:pPr>
          </w:p>
        </w:tc>
        <w:tc>
          <w:tcPr>
            <w:tcW w:w="3766" w:type="dxa"/>
            <w:gridSpan w:val="4"/>
            <w:noWrap w:val="0"/>
            <w:vAlign w:val="top"/>
          </w:tcPr>
          <w:p w14:paraId="1EE638E8">
            <w:pPr>
              <w:keepNext w:val="0"/>
              <w:keepLines w:val="0"/>
              <w:suppressLineNumbers w:val="0"/>
              <w:spacing w:before="0" w:beforeAutospacing="0" w:after="0" w:afterAutospacing="0"/>
              <w:ind w:left="0" w:right="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产基础法部分：说明内容是否符合相关评估准则规定，是否根据资产分类介绍评估方法，各类资产选取的评估方法、参数以及评估结果是否合理，重要资产是否有案例，案例作价是否与取价依据匹配、计算无误，账外无形资产是否纳入评估范围，是否存在简单按账面值确认评估值且理由不充分的情况。（20分）</w:t>
            </w:r>
          </w:p>
        </w:tc>
        <w:tc>
          <w:tcPr>
            <w:tcW w:w="1692" w:type="dxa"/>
            <w:gridSpan w:val="2"/>
            <w:noWrap w:val="0"/>
            <w:vAlign w:val="center"/>
          </w:tcPr>
          <w:p w14:paraId="22D59A54">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优秀:17-20分</w:t>
            </w:r>
          </w:p>
          <w:p w14:paraId="1BE2AF12">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较好:13-16分</w:t>
            </w:r>
          </w:p>
          <w:p w14:paraId="54FAFED0">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一般: 9-12分</w:t>
            </w:r>
          </w:p>
          <w:p w14:paraId="43648596">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较差:0-8分</w:t>
            </w:r>
          </w:p>
        </w:tc>
        <w:tc>
          <w:tcPr>
            <w:tcW w:w="648" w:type="dxa"/>
            <w:gridSpan w:val="2"/>
            <w:noWrap w:val="0"/>
            <w:vAlign w:val="center"/>
          </w:tcPr>
          <w:p w14:paraId="4CCDCAAF">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p>
        </w:tc>
      </w:tr>
      <w:tr w14:paraId="57BB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1" w:type="dxa"/>
          <w:trHeight w:val="4396" w:hRule="atLeast"/>
          <w:jc w:val="center"/>
        </w:trPr>
        <w:tc>
          <w:tcPr>
            <w:tcW w:w="1455" w:type="dxa"/>
            <w:vMerge w:val="continue"/>
            <w:noWrap w:val="0"/>
            <w:vAlign w:val="top"/>
          </w:tcPr>
          <w:p w14:paraId="0F185CE7">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c>
          <w:tcPr>
            <w:tcW w:w="1458" w:type="dxa"/>
            <w:gridSpan w:val="3"/>
            <w:vMerge w:val="continue"/>
            <w:noWrap w:val="0"/>
            <w:vAlign w:val="top"/>
          </w:tcPr>
          <w:p w14:paraId="542148C8">
            <w:pPr>
              <w:keepNext w:val="0"/>
              <w:keepLines w:val="0"/>
              <w:suppressLineNumbers w:val="0"/>
              <w:spacing w:before="0" w:beforeAutospacing="0" w:after="0" w:afterAutospacing="0"/>
              <w:ind w:left="0" w:right="0"/>
              <w:jc w:val="left"/>
              <w:rPr>
                <w:rFonts w:hint="eastAsia" w:ascii="仿宋" w:hAnsi="仿宋" w:eastAsia="仿宋" w:cs="仿宋"/>
                <w:sz w:val="28"/>
                <w:szCs w:val="28"/>
                <w:vertAlign w:val="baseline"/>
                <w:lang w:val="en-US" w:eastAsia="zh-CN"/>
              </w:rPr>
            </w:pPr>
          </w:p>
        </w:tc>
        <w:tc>
          <w:tcPr>
            <w:tcW w:w="3766" w:type="dxa"/>
            <w:gridSpan w:val="4"/>
            <w:noWrap w:val="0"/>
            <w:vAlign w:val="top"/>
          </w:tcPr>
          <w:p w14:paraId="336D80B1">
            <w:pPr>
              <w:keepNext w:val="0"/>
              <w:keepLines w:val="0"/>
              <w:suppressLineNumbers w:val="0"/>
              <w:spacing w:before="0" w:beforeAutospacing="0" w:after="0" w:afterAutospacing="0"/>
              <w:ind w:left="0" w:right="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收益法部分：对企业资产、财务情况的分析是否充分、合理，是否根据企业所在行业、经营特点、收益情况等选择恰当的收益模型，是否合理确定收益期限，对应的折现率确定过程和依据是否合理，是否对经营性资产的收入、成本及费用、折旧摊销、营运资金、资本性支出、所得税等进行合理预测，并充分说明依据及理由，是否对被评估企业的非经营性资产、负债和溢余资产进行准确界定及评估。（20分）</w:t>
            </w:r>
          </w:p>
        </w:tc>
        <w:tc>
          <w:tcPr>
            <w:tcW w:w="1692" w:type="dxa"/>
            <w:gridSpan w:val="2"/>
            <w:noWrap w:val="0"/>
            <w:vAlign w:val="center"/>
          </w:tcPr>
          <w:p w14:paraId="58ADD0C5">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优秀:17-20分</w:t>
            </w:r>
          </w:p>
          <w:p w14:paraId="2BF95F0E">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较好:13-16分</w:t>
            </w:r>
          </w:p>
          <w:p w14:paraId="38FAF569">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一般: 9-12分</w:t>
            </w:r>
          </w:p>
          <w:p w14:paraId="481DCEF3">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r>
              <w:rPr>
                <w:rFonts w:hint="eastAsia" w:ascii="仿宋" w:hAnsi="仿宋" w:eastAsia="仿宋" w:cs="仿宋"/>
                <w:sz w:val="24"/>
                <w:szCs w:val="24"/>
                <w:vertAlign w:val="baseline"/>
                <w:lang w:val="en-US" w:eastAsia="zh-CN"/>
              </w:rPr>
              <w:t>较差:0-8分</w:t>
            </w:r>
          </w:p>
        </w:tc>
        <w:tc>
          <w:tcPr>
            <w:tcW w:w="648" w:type="dxa"/>
            <w:gridSpan w:val="2"/>
            <w:noWrap w:val="0"/>
            <w:vAlign w:val="top"/>
          </w:tcPr>
          <w:p w14:paraId="035622F4">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7FB3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1" w:type="dxa"/>
          <w:jc w:val="center"/>
        </w:trPr>
        <w:tc>
          <w:tcPr>
            <w:tcW w:w="1455" w:type="dxa"/>
            <w:vMerge w:val="continue"/>
            <w:noWrap w:val="0"/>
            <w:vAlign w:val="top"/>
          </w:tcPr>
          <w:p w14:paraId="60DCAD9B">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c>
          <w:tcPr>
            <w:tcW w:w="1458" w:type="dxa"/>
            <w:gridSpan w:val="3"/>
            <w:vMerge w:val="continue"/>
            <w:noWrap w:val="0"/>
            <w:vAlign w:val="top"/>
          </w:tcPr>
          <w:p w14:paraId="44506438">
            <w:pPr>
              <w:keepNext w:val="0"/>
              <w:keepLines w:val="0"/>
              <w:suppressLineNumbers w:val="0"/>
              <w:spacing w:before="0" w:beforeAutospacing="0" w:after="0" w:afterAutospacing="0"/>
              <w:ind w:left="0" w:right="0"/>
              <w:jc w:val="left"/>
              <w:rPr>
                <w:rFonts w:hint="eastAsia" w:ascii="仿宋" w:hAnsi="仿宋" w:eastAsia="仿宋" w:cs="仿宋"/>
                <w:sz w:val="28"/>
                <w:szCs w:val="28"/>
                <w:vertAlign w:val="baseline"/>
                <w:lang w:val="en-US" w:eastAsia="zh-CN"/>
              </w:rPr>
            </w:pPr>
          </w:p>
        </w:tc>
        <w:tc>
          <w:tcPr>
            <w:tcW w:w="3766" w:type="dxa"/>
            <w:gridSpan w:val="4"/>
            <w:noWrap w:val="0"/>
            <w:vAlign w:val="top"/>
          </w:tcPr>
          <w:p w14:paraId="4723A04C">
            <w:pPr>
              <w:keepNext w:val="0"/>
              <w:keepLines w:val="0"/>
              <w:suppressLineNumbers w:val="0"/>
              <w:spacing w:before="0" w:beforeAutospacing="0" w:after="0" w:afterAutospacing="0"/>
              <w:ind w:left="0" w:right="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市场法部分：选择的可比案例是否与被评估企业具有可比性，是否对相关数据进行分析调整，并消除偶然因素，选择的价值比率是否合理，是否合理考虑流动性折扣，是否根据企业实际情况选择多种价值比率，并进行合理分析，确定最终评估结果。（20分）</w:t>
            </w:r>
          </w:p>
        </w:tc>
        <w:tc>
          <w:tcPr>
            <w:tcW w:w="1692" w:type="dxa"/>
            <w:gridSpan w:val="2"/>
            <w:noWrap w:val="0"/>
            <w:vAlign w:val="center"/>
          </w:tcPr>
          <w:p w14:paraId="77F764A6">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优秀:17-20分</w:t>
            </w:r>
          </w:p>
          <w:p w14:paraId="25EA09E9">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较好:13-16分</w:t>
            </w:r>
          </w:p>
          <w:p w14:paraId="7F4826BD">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一般: 9-12分</w:t>
            </w:r>
          </w:p>
          <w:p w14:paraId="2341E89A">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r>
              <w:rPr>
                <w:rFonts w:hint="eastAsia" w:ascii="仿宋" w:hAnsi="仿宋" w:eastAsia="仿宋" w:cs="仿宋"/>
                <w:sz w:val="24"/>
                <w:szCs w:val="24"/>
                <w:vertAlign w:val="baseline"/>
                <w:lang w:val="en-US" w:eastAsia="zh-CN"/>
              </w:rPr>
              <w:t>较差:0-8分</w:t>
            </w:r>
          </w:p>
        </w:tc>
        <w:tc>
          <w:tcPr>
            <w:tcW w:w="648" w:type="dxa"/>
            <w:gridSpan w:val="2"/>
            <w:noWrap w:val="0"/>
            <w:vAlign w:val="top"/>
          </w:tcPr>
          <w:p w14:paraId="3AEB9E02">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7A52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1" w:type="dxa"/>
          <w:trHeight w:val="1396" w:hRule="atLeast"/>
          <w:jc w:val="center"/>
        </w:trPr>
        <w:tc>
          <w:tcPr>
            <w:tcW w:w="1455" w:type="dxa"/>
            <w:vMerge w:val="continue"/>
            <w:noWrap w:val="0"/>
            <w:vAlign w:val="top"/>
          </w:tcPr>
          <w:p w14:paraId="7E751271">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c>
          <w:tcPr>
            <w:tcW w:w="1458" w:type="dxa"/>
            <w:gridSpan w:val="3"/>
            <w:vMerge w:val="continue"/>
            <w:noWrap w:val="0"/>
            <w:vAlign w:val="top"/>
          </w:tcPr>
          <w:p w14:paraId="60EE2B79">
            <w:pPr>
              <w:keepNext w:val="0"/>
              <w:keepLines w:val="0"/>
              <w:suppressLineNumbers w:val="0"/>
              <w:spacing w:before="0" w:beforeAutospacing="0" w:after="0" w:afterAutospacing="0"/>
              <w:ind w:left="0" w:right="0"/>
              <w:jc w:val="left"/>
              <w:rPr>
                <w:rFonts w:hint="eastAsia" w:ascii="仿宋" w:hAnsi="仿宋" w:eastAsia="仿宋" w:cs="仿宋"/>
                <w:sz w:val="28"/>
                <w:szCs w:val="28"/>
                <w:vertAlign w:val="baseline"/>
                <w:lang w:val="en-US" w:eastAsia="zh-CN"/>
              </w:rPr>
            </w:pPr>
          </w:p>
        </w:tc>
        <w:tc>
          <w:tcPr>
            <w:tcW w:w="3766" w:type="dxa"/>
            <w:gridSpan w:val="4"/>
            <w:noWrap w:val="0"/>
            <w:vAlign w:val="top"/>
          </w:tcPr>
          <w:p w14:paraId="5D48345F">
            <w:pPr>
              <w:keepNext w:val="0"/>
              <w:keepLines w:val="0"/>
              <w:suppressLineNumbers w:val="0"/>
              <w:spacing w:before="0" w:beforeAutospacing="0" w:after="0" w:afterAutospacing="0"/>
              <w:ind w:left="0" w:right="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评估说明整体是否详略得当，是否存在明显模板</w:t>
            </w:r>
            <w:bookmarkStart w:id="0" w:name="_GoBack"/>
            <w:bookmarkEnd w:id="0"/>
            <w:r>
              <w:rPr>
                <w:rFonts w:hint="eastAsia" w:ascii="仿宋" w:hAnsi="仿宋" w:eastAsia="仿宋" w:cs="仿宋"/>
                <w:sz w:val="24"/>
                <w:szCs w:val="24"/>
                <w:vertAlign w:val="baseline"/>
                <w:lang w:val="en-US" w:eastAsia="zh-CN"/>
              </w:rPr>
              <w:t>化内容，或者说明简略无法判断合理性的情况，是否存在较多低级错误。（5分）</w:t>
            </w:r>
          </w:p>
        </w:tc>
        <w:tc>
          <w:tcPr>
            <w:tcW w:w="1692" w:type="dxa"/>
            <w:gridSpan w:val="2"/>
            <w:noWrap w:val="0"/>
            <w:vAlign w:val="center"/>
          </w:tcPr>
          <w:p w14:paraId="5A30FEC2">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优秀:5分</w:t>
            </w:r>
          </w:p>
          <w:p w14:paraId="0F6A7873">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一般:3-4分</w:t>
            </w:r>
          </w:p>
          <w:p w14:paraId="7ACFD586">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较差: 0-2分</w:t>
            </w:r>
          </w:p>
        </w:tc>
        <w:tc>
          <w:tcPr>
            <w:tcW w:w="648" w:type="dxa"/>
            <w:gridSpan w:val="2"/>
            <w:noWrap w:val="0"/>
            <w:vAlign w:val="top"/>
          </w:tcPr>
          <w:p w14:paraId="3A185A5F">
            <w:pPr>
              <w:keepNext w:val="0"/>
              <w:keepLines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p>
        </w:tc>
      </w:tr>
      <w:tr w14:paraId="0694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1" w:type="dxa"/>
          <w:jc w:val="center"/>
        </w:trPr>
        <w:tc>
          <w:tcPr>
            <w:tcW w:w="1455" w:type="dxa"/>
            <w:vMerge w:val="continue"/>
            <w:noWrap w:val="0"/>
            <w:vAlign w:val="top"/>
          </w:tcPr>
          <w:p w14:paraId="282821C3">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c>
          <w:tcPr>
            <w:tcW w:w="1458" w:type="dxa"/>
            <w:gridSpan w:val="3"/>
            <w:vMerge w:val="restart"/>
            <w:noWrap w:val="0"/>
            <w:vAlign w:val="center"/>
          </w:tcPr>
          <w:p w14:paraId="79CA66EA">
            <w:pPr>
              <w:keepNext w:val="0"/>
              <w:keepLines w:val="0"/>
              <w:suppressLineNumbers w:val="0"/>
              <w:spacing w:before="0" w:beforeAutospacing="0" w:after="0" w:afterAutospacing="0"/>
              <w:ind w:left="0" w:right="0"/>
              <w:jc w:val="left"/>
              <w:rPr>
                <w:rFonts w:hint="eastAsia" w:ascii="仿宋" w:hAnsi="仿宋" w:eastAsia="仿宋" w:cs="仿宋"/>
                <w:sz w:val="28"/>
                <w:szCs w:val="28"/>
                <w:vertAlign w:val="baseline"/>
                <w:lang w:val="en-US" w:eastAsia="zh-CN"/>
              </w:rPr>
            </w:pPr>
            <w:r>
              <w:rPr>
                <w:rFonts w:hint="eastAsia" w:ascii="黑体" w:hAnsi="黑体" w:eastAsia="黑体" w:cs="黑体"/>
                <w:sz w:val="24"/>
                <w:szCs w:val="24"/>
                <w:vertAlign w:val="baseline"/>
                <w:lang w:val="en-US" w:eastAsia="zh-CN"/>
              </w:rPr>
              <w:t>评估报告修改情况（13分）</w:t>
            </w:r>
          </w:p>
        </w:tc>
        <w:tc>
          <w:tcPr>
            <w:tcW w:w="3766" w:type="dxa"/>
            <w:gridSpan w:val="4"/>
            <w:noWrap w:val="0"/>
            <w:vAlign w:val="center"/>
          </w:tcPr>
          <w:p w14:paraId="441ED4C3">
            <w:pPr>
              <w:keepNext w:val="0"/>
              <w:keepLines w:val="0"/>
              <w:suppressLineNumbers w:val="0"/>
              <w:spacing w:before="0" w:beforeAutospacing="0" w:after="0" w:afterAutospacing="0"/>
              <w:ind w:left="0" w:right="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评估报告是否因评估机构原因经过三次以上修改才符合备案要求。（5分）</w:t>
            </w:r>
          </w:p>
        </w:tc>
        <w:tc>
          <w:tcPr>
            <w:tcW w:w="1692" w:type="dxa"/>
            <w:gridSpan w:val="2"/>
            <w:noWrap w:val="0"/>
            <w:vAlign w:val="top"/>
          </w:tcPr>
          <w:p w14:paraId="0D2D32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0-1次:5分</w:t>
            </w:r>
          </w:p>
          <w:p w14:paraId="1EEB45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2次:4分</w:t>
            </w:r>
          </w:p>
          <w:p w14:paraId="5C69BB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3次:2分</w:t>
            </w:r>
          </w:p>
          <w:p w14:paraId="1B3062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hAnsi="黑体" w:eastAsia="黑体" w:cs="黑体"/>
                <w:sz w:val="32"/>
                <w:szCs w:val="32"/>
                <w:vertAlign w:val="baseline"/>
                <w:lang w:val="en-US" w:eastAsia="zh-CN"/>
              </w:rPr>
            </w:pPr>
            <w:r>
              <w:rPr>
                <w:rFonts w:hint="eastAsia" w:ascii="仿宋" w:hAnsi="仿宋" w:eastAsia="仿宋" w:cs="仿宋"/>
                <w:sz w:val="24"/>
                <w:szCs w:val="24"/>
                <w:vertAlign w:val="baseline"/>
                <w:lang w:val="en-US" w:eastAsia="zh-CN"/>
              </w:rPr>
              <w:t>3次以上:0分</w:t>
            </w:r>
          </w:p>
        </w:tc>
        <w:tc>
          <w:tcPr>
            <w:tcW w:w="648" w:type="dxa"/>
            <w:gridSpan w:val="2"/>
            <w:noWrap w:val="0"/>
            <w:vAlign w:val="top"/>
          </w:tcPr>
          <w:p w14:paraId="6C94F386">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r>
      <w:tr w14:paraId="1BFF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1" w:type="dxa"/>
          <w:jc w:val="center"/>
        </w:trPr>
        <w:tc>
          <w:tcPr>
            <w:tcW w:w="1455" w:type="dxa"/>
            <w:vMerge w:val="continue"/>
            <w:noWrap w:val="0"/>
            <w:vAlign w:val="top"/>
          </w:tcPr>
          <w:p w14:paraId="4D61F75A">
            <w:pPr>
              <w:keepNext w:val="0"/>
              <w:keepLines w:val="0"/>
              <w:suppressLineNumbers w:val="0"/>
              <w:spacing w:before="0" w:beforeAutospacing="0" w:after="0" w:afterAutospacing="0"/>
              <w:ind w:left="0" w:right="0"/>
              <w:jc w:val="center"/>
              <w:rPr>
                <w:rFonts w:hint="eastAsia" w:ascii="黑体" w:hAnsi="黑体" w:eastAsia="黑体" w:cs="黑体"/>
                <w:sz w:val="32"/>
                <w:szCs w:val="32"/>
                <w:vertAlign w:val="baseline"/>
                <w:lang w:val="en-US" w:eastAsia="zh-CN"/>
              </w:rPr>
            </w:pPr>
          </w:p>
        </w:tc>
        <w:tc>
          <w:tcPr>
            <w:tcW w:w="1458" w:type="dxa"/>
            <w:gridSpan w:val="3"/>
            <w:vMerge w:val="continue"/>
            <w:noWrap w:val="0"/>
            <w:vAlign w:val="top"/>
          </w:tcPr>
          <w:p w14:paraId="6417C915">
            <w:pPr>
              <w:keepNext w:val="0"/>
              <w:keepLines w:val="0"/>
              <w:suppressLineNumbers w:val="0"/>
              <w:spacing w:before="0" w:beforeAutospacing="0" w:after="0" w:afterAutospacing="0"/>
              <w:ind w:left="0" w:right="0"/>
              <w:jc w:val="left"/>
              <w:rPr>
                <w:rFonts w:hint="eastAsia" w:ascii="仿宋" w:hAnsi="仿宋" w:eastAsia="仿宋" w:cs="仿宋"/>
                <w:sz w:val="28"/>
                <w:szCs w:val="28"/>
                <w:vertAlign w:val="baseline"/>
                <w:lang w:val="en-US" w:eastAsia="zh-CN"/>
              </w:rPr>
            </w:pPr>
          </w:p>
        </w:tc>
        <w:tc>
          <w:tcPr>
            <w:tcW w:w="3766" w:type="dxa"/>
            <w:gridSpan w:val="4"/>
            <w:noWrap w:val="0"/>
            <w:vAlign w:val="center"/>
          </w:tcPr>
          <w:p w14:paraId="267D6B76">
            <w:pPr>
              <w:keepNext w:val="0"/>
              <w:keepLines w:val="0"/>
              <w:suppressLineNumbers w:val="0"/>
              <w:spacing w:before="0" w:beforeAutospacing="0" w:after="0" w:afterAutospacing="0"/>
              <w:ind w:left="0" w:right="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评估结果调整情况。（8分）</w:t>
            </w:r>
          </w:p>
        </w:tc>
        <w:tc>
          <w:tcPr>
            <w:tcW w:w="1692" w:type="dxa"/>
            <w:gridSpan w:val="2"/>
            <w:noWrap w:val="0"/>
            <w:vAlign w:val="top"/>
          </w:tcPr>
          <w:p w14:paraId="652EE8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未调整:8分</w:t>
            </w:r>
          </w:p>
          <w:p w14:paraId="1AFBE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小于5%:5-7分</w:t>
            </w:r>
          </w:p>
          <w:p w14:paraId="7EFF2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5%-10%:1-4分</w:t>
            </w:r>
          </w:p>
          <w:p w14:paraId="2C7F80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大于10%:0分</w:t>
            </w:r>
          </w:p>
        </w:tc>
        <w:tc>
          <w:tcPr>
            <w:tcW w:w="648" w:type="dxa"/>
            <w:gridSpan w:val="2"/>
            <w:noWrap w:val="0"/>
            <w:vAlign w:val="top"/>
          </w:tcPr>
          <w:p w14:paraId="10C31B5D">
            <w:pPr>
              <w:keepNext w:val="0"/>
              <w:keepLines w:val="0"/>
              <w:suppressLineNumbers w:val="0"/>
              <w:spacing w:before="0" w:beforeAutospacing="0" w:after="0" w:afterAutospacing="0"/>
              <w:ind w:left="0" w:right="0"/>
              <w:jc w:val="center"/>
              <w:rPr>
                <w:rFonts w:hint="eastAsia" w:ascii="仿宋" w:hAnsi="仿宋" w:eastAsia="仿宋" w:cs="仿宋"/>
                <w:sz w:val="21"/>
                <w:szCs w:val="21"/>
                <w:vertAlign w:val="baseline"/>
                <w:lang w:val="en-US" w:eastAsia="zh-CN"/>
              </w:rPr>
            </w:pPr>
          </w:p>
        </w:tc>
      </w:tr>
      <w:tr w14:paraId="120F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1" w:type="dxa"/>
          <w:trHeight w:val="260" w:hRule="atLeast"/>
          <w:jc w:val="center"/>
        </w:trPr>
        <w:tc>
          <w:tcPr>
            <w:tcW w:w="2913" w:type="dxa"/>
            <w:gridSpan w:val="4"/>
            <w:noWrap w:val="0"/>
            <w:vAlign w:val="center"/>
          </w:tcPr>
          <w:p w14:paraId="33EBAF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sz w:val="28"/>
                <w:szCs w:val="28"/>
                <w:vertAlign w:val="baseline"/>
                <w:lang w:val="en-US" w:eastAsia="zh-CN"/>
              </w:rPr>
            </w:pPr>
            <w:r>
              <w:rPr>
                <w:rFonts w:hint="eastAsia" w:ascii="黑体" w:hAnsi="黑体" w:eastAsia="黑体" w:cs="黑体"/>
                <w:sz w:val="24"/>
                <w:szCs w:val="24"/>
                <w:vertAlign w:val="baseline"/>
                <w:lang w:val="en-US" w:eastAsia="zh-CN"/>
              </w:rPr>
              <w:t>合计分数</w:t>
            </w:r>
          </w:p>
        </w:tc>
        <w:tc>
          <w:tcPr>
            <w:tcW w:w="6106" w:type="dxa"/>
            <w:gridSpan w:val="8"/>
            <w:noWrap w:val="0"/>
            <w:vAlign w:val="top"/>
          </w:tcPr>
          <w:p w14:paraId="3C723BC6">
            <w:pPr>
              <w:keepNext w:val="0"/>
              <w:keepLines w:val="0"/>
              <w:suppressLineNumbers w:val="0"/>
              <w:spacing w:before="0" w:beforeAutospacing="0" w:after="0" w:afterAutospacing="0"/>
              <w:ind w:left="0" w:right="0"/>
              <w:jc w:val="center"/>
              <w:rPr>
                <w:rFonts w:hint="eastAsia" w:ascii="黑体" w:hAnsi="黑体" w:eastAsia="黑体" w:cs="黑体"/>
                <w:sz w:val="24"/>
                <w:szCs w:val="24"/>
                <w:vertAlign w:val="baseline"/>
                <w:lang w:val="en-US" w:eastAsia="zh-CN"/>
              </w:rPr>
            </w:pPr>
          </w:p>
        </w:tc>
      </w:tr>
    </w:tbl>
    <w:p w14:paraId="27067C2A">
      <w:pPr>
        <w:jc w:val="left"/>
      </w:pPr>
      <w:r>
        <w:rPr>
          <w:rFonts w:hint="eastAsia" w:ascii="仿宋" w:hAnsi="仿宋" w:eastAsia="仿宋" w:cs="仿宋"/>
          <w:b/>
          <w:bCs/>
          <w:sz w:val="24"/>
          <w:szCs w:val="24"/>
          <w:vertAlign w:val="baseline"/>
          <w:lang w:val="en-US" w:eastAsia="zh-CN"/>
        </w:rPr>
        <w:t>填报说明：</w:t>
      </w:r>
      <w:r>
        <w:rPr>
          <w:rFonts w:hint="eastAsia" w:ascii="仿宋" w:hAnsi="仿宋" w:eastAsia="仿宋" w:cs="仿宋"/>
          <w:sz w:val="24"/>
          <w:szCs w:val="24"/>
          <w:vertAlign w:val="baseline"/>
          <w:lang w:val="en-US" w:eastAsia="zh-CN"/>
        </w:rPr>
        <w:t>评估说明内容的完整性、合理性打分部分，如果只采用一种评估方法进行评估，则该评估方法的分值为40分，整体情况分值为5分。如果采用两种评估方法进行评估，两种评估方法的分值分别为20分，整体情况分值为5分。</w:t>
      </w:r>
    </w:p>
    <w:sectPr>
      <w:pgSz w:w="11906" w:h="16838"/>
      <w:pgMar w:top="2098" w:right="1474" w:bottom="1984" w:left="1474" w:header="851" w:footer="164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2600C2-77A3-4B85-84D0-3875A9FEFC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0D0982F-BBAD-46DB-B96E-C3E6F9A8004A}"/>
  </w:font>
  <w:font w:name="仿宋_GB2312">
    <w:panose1 w:val="02010609030101010101"/>
    <w:charset w:val="86"/>
    <w:family w:val="modern"/>
    <w:pitch w:val="default"/>
    <w:sig w:usb0="00000001" w:usb1="080E0000" w:usb2="00000000" w:usb3="00000000" w:csb0="00040000" w:csb1="00000000"/>
    <w:embedRegular r:id="rId3" w:fontKey="{C924CA97-F36A-4978-B4FE-DEE5FE1F2DF3}"/>
  </w:font>
  <w:font w:name="方正小标宋简体">
    <w:altName w:val="仿宋_GB2312"/>
    <w:panose1 w:val="02010601030101010101"/>
    <w:charset w:val="86"/>
    <w:family w:val="auto"/>
    <w:pitch w:val="default"/>
    <w:sig w:usb0="00000000" w:usb1="00000000" w:usb2="00000000" w:usb3="00000000" w:csb0="00040000" w:csb1="00000000"/>
    <w:embedRegular r:id="rId4" w:fontKey="{DA4F2047-6D9C-4B56-8F32-C87BAA4C58B2}"/>
  </w:font>
  <w:font w:name="楷体_GB2312">
    <w:panose1 w:val="02010609030101010101"/>
    <w:charset w:val="86"/>
    <w:family w:val="auto"/>
    <w:pitch w:val="default"/>
    <w:sig w:usb0="00000001" w:usb1="080E0000" w:usb2="00000000" w:usb3="00000000" w:csb0="00040000" w:csb1="00000000"/>
    <w:embedRegular r:id="rId5" w:fontKey="{05A41F2C-AC1A-4021-8191-1DE1FD7C280D}"/>
  </w:font>
  <w:font w:name="仿宋">
    <w:panose1 w:val="02010609060101010101"/>
    <w:charset w:val="86"/>
    <w:family w:val="modern"/>
    <w:pitch w:val="default"/>
    <w:sig w:usb0="800002BF" w:usb1="38CF7CFA" w:usb2="00000016" w:usb3="00000000" w:csb0="00040001" w:csb1="00000000"/>
    <w:embedRegular r:id="rId6" w:fontKey="{4B4983FA-79E0-4B9F-82B7-4DDCBAB83A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7B62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5593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D5593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ZjJkOTY0ODIxNmY2Y2Q2NmE1MTM4MmVlY2VlMzQifQ=="/>
  </w:docVars>
  <w:rsids>
    <w:rsidRoot w:val="14154058"/>
    <w:rsid w:val="0096213E"/>
    <w:rsid w:val="00986AC7"/>
    <w:rsid w:val="00D0253A"/>
    <w:rsid w:val="01290C2A"/>
    <w:rsid w:val="0167690B"/>
    <w:rsid w:val="01CE3B71"/>
    <w:rsid w:val="02B01A73"/>
    <w:rsid w:val="02EA10B7"/>
    <w:rsid w:val="02EE6529"/>
    <w:rsid w:val="032245D6"/>
    <w:rsid w:val="03605264"/>
    <w:rsid w:val="03760731"/>
    <w:rsid w:val="03776BD5"/>
    <w:rsid w:val="03FA0E66"/>
    <w:rsid w:val="04471463"/>
    <w:rsid w:val="0449468A"/>
    <w:rsid w:val="052F55C4"/>
    <w:rsid w:val="05982A7F"/>
    <w:rsid w:val="05C64ACE"/>
    <w:rsid w:val="061E7DBF"/>
    <w:rsid w:val="065757A6"/>
    <w:rsid w:val="067153EA"/>
    <w:rsid w:val="06761F5B"/>
    <w:rsid w:val="077729FC"/>
    <w:rsid w:val="079F7D95"/>
    <w:rsid w:val="07DB6140"/>
    <w:rsid w:val="08744CFC"/>
    <w:rsid w:val="08832692"/>
    <w:rsid w:val="08B358BC"/>
    <w:rsid w:val="09336DF3"/>
    <w:rsid w:val="0A80073D"/>
    <w:rsid w:val="0ACE72E2"/>
    <w:rsid w:val="0B7D65FD"/>
    <w:rsid w:val="0C384FD2"/>
    <w:rsid w:val="0C3D7185"/>
    <w:rsid w:val="0CA43D7F"/>
    <w:rsid w:val="0DE10185"/>
    <w:rsid w:val="0E004FC7"/>
    <w:rsid w:val="0E610C3E"/>
    <w:rsid w:val="0EAB633B"/>
    <w:rsid w:val="0EAF9452"/>
    <w:rsid w:val="0EC21F92"/>
    <w:rsid w:val="0EF023B4"/>
    <w:rsid w:val="0F25347D"/>
    <w:rsid w:val="0F39E70E"/>
    <w:rsid w:val="0F7B54E3"/>
    <w:rsid w:val="0FBD301C"/>
    <w:rsid w:val="0FD627C4"/>
    <w:rsid w:val="103D2C5C"/>
    <w:rsid w:val="108E45DE"/>
    <w:rsid w:val="10CB68F2"/>
    <w:rsid w:val="10D449D6"/>
    <w:rsid w:val="112C3F01"/>
    <w:rsid w:val="11772A0F"/>
    <w:rsid w:val="119A654D"/>
    <w:rsid w:val="121D6299"/>
    <w:rsid w:val="12287766"/>
    <w:rsid w:val="127FDD8B"/>
    <w:rsid w:val="12A05CFF"/>
    <w:rsid w:val="13B47737"/>
    <w:rsid w:val="13E8415D"/>
    <w:rsid w:val="13E85BCF"/>
    <w:rsid w:val="14154058"/>
    <w:rsid w:val="14927C89"/>
    <w:rsid w:val="14B85CEB"/>
    <w:rsid w:val="14E2734B"/>
    <w:rsid w:val="15867E75"/>
    <w:rsid w:val="15F35B9D"/>
    <w:rsid w:val="1633094B"/>
    <w:rsid w:val="167C021D"/>
    <w:rsid w:val="16D72B69"/>
    <w:rsid w:val="16F221AE"/>
    <w:rsid w:val="17086B61"/>
    <w:rsid w:val="177D28B3"/>
    <w:rsid w:val="17C134AA"/>
    <w:rsid w:val="17C17690"/>
    <w:rsid w:val="17E65495"/>
    <w:rsid w:val="17E81FAE"/>
    <w:rsid w:val="181771D1"/>
    <w:rsid w:val="181D6F2D"/>
    <w:rsid w:val="184A0979"/>
    <w:rsid w:val="18542D7A"/>
    <w:rsid w:val="185C24D1"/>
    <w:rsid w:val="186A75E5"/>
    <w:rsid w:val="18710F23"/>
    <w:rsid w:val="188E023E"/>
    <w:rsid w:val="18B61B8D"/>
    <w:rsid w:val="18EF0B42"/>
    <w:rsid w:val="1953254B"/>
    <w:rsid w:val="1990566E"/>
    <w:rsid w:val="1A0940A6"/>
    <w:rsid w:val="1A220CB0"/>
    <w:rsid w:val="1A2745D4"/>
    <w:rsid w:val="1A69116B"/>
    <w:rsid w:val="1AF35E3A"/>
    <w:rsid w:val="1B350A76"/>
    <w:rsid w:val="1B511BA0"/>
    <w:rsid w:val="1B896E6C"/>
    <w:rsid w:val="1BC272AA"/>
    <w:rsid w:val="1C3D29BB"/>
    <w:rsid w:val="1C3E633D"/>
    <w:rsid w:val="1CA1052F"/>
    <w:rsid w:val="1CD00FC8"/>
    <w:rsid w:val="1D3867EB"/>
    <w:rsid w:val="1D78664B"/>
    <w:rsid w:val="1DBB7581"/>
    <w:rsid w:val="1E097E83"/>
    <w:rsid w:val="1E0B4B03"/>
    <w:rsid w:val="1E346DD5"/>
    <w:rsid w:val="1EAA6594"/>
    <w:rsid w:val="1EDA5DDA"/>
    <w:rsid w:val="1EDD58D4"/>
    <w:rsid w:val="1F342837"/>
    <w:rsid w:val="1F82712D"/>
    <w:rsid w:val="1F981251"/>
    <w:rsid w:val="1FAC4A93"/>
    <w:rsid w:val="1FEE2D48"/>
    <w:rsid w:val="20C602B3"/>
    <w:rsid w:val="20D10BBD"/>
    <w:rsid w:val="21133F84"/>
    <w:rsid w:val="214B09EF"/>
    <w:rsid w:val="217673C4"/>
    <w:rsid w:val="21BD7241"/>
    <w:rsid w:val="21C9389F"/>
    <w:rsid w:val="21FD3453"/>
    <w:rsid w:val="22477DD5"/>
    <w:rsid w:val="22550D19"/>
    <w:rsid w:val="23FDA6CB"/>
    <w:rsid w:val="245D058D"/>
    <w:rsid w:val="247171B2"/>
    <w:rsid w:val="249B5447"/>
    <w:rsid w:val="24AE1410"/>
    <w:rsid w:val="24CB0BB6"/>
    <w:rsid w:val="24E41F01"/>
    <w:rsid w:val="25BD71AE"/>
    <w:rsid w:val="26C00583"/>
    <w:rsid w:val="26C6316F"/>
    <w:rsid w:val="26EF3E94"/>
    <w:rsid w:val="27C70FE5"/>
    <w:rsid w:val="280321F7"/>
    <w:rsid w:val="28234CC9"/>
    <w:rsid w:val="283C18FD"/>
    <w:rsid w:val="2845329E"/>
    <w:rsid w:val="28746C5A"/>
    <w:rsid w:val="287F2454"/>
    <w:rsid w:val="28B4169D"/>
    <w:rsid w:val="29560C57"/>
    <w:rsid w:val="295B581A"/>
    <w:rsid w:val="296C5676"/>
    <w:rsid w:val="29A14828"/>
    <w:rsid w:val="2A2D326D"/>
    <w:rsid w:val="2A3741E3"/>
    <w:rsid w:val="2A7315CA"/>
    <w:rsid w:val="2AB813C6"/>
    <w:rsid w:val="2AE54FFA"/>
    <w:rsid w:val="2B6B1529"/>
    <w:rsid w:val="2C024392"/>
    <w:rsid w:val="2C444831"/>
    <w:rsid w:val="2C665420"/>
    <w:rsid w:val="2D145D07"/>
    <w:rsid w:val="2D155223"/>
    <w:rsid w:val="2D1E0BD2"/>
    <w:rsid w:val="2D373734"/>
    <w:rsid w:val="2D417E93"/>
    <w:rsid w:val="2DBF7BD8"/>
    <w:rsid w:val="2DD033AA"/>
    <w:rsid w:val="2DD66C36"/>
    <w:rsid w:val="2E275199"/>
    <w:rsid w:val="2E593925"/>
    <w:rsid w:val="2E8D6108"/>
    <w:rsid w:val="2EDF72B2"/>
    <w:rsid w:val="2F0448EC"/>
    <w:rsid w:val="2F552FD9"/>
    <w:rsid w:val="2FAF30A0"/>
    <w:rsid w:val="2FB5661C"/>
    <w:rsid w:val="2FE341FE"/>
    <w:rsid w:val="2FF10E68"/>
    <w:rsid w:val="2FF6C86C"/>
    <w:rsid w:val="2FF8290D"/>
    <w:rsid w:val="30506E17"/>
    <w:rsid w:val="30DF71CE"/>
    <w:rsid w:val="30F27FC9"/>
    <w:rsid w:val="31073344"/>
    <w:rsid w:val="313865E3"/>
    <w:rsid w:val="3140128D"/>
    <w:rsid w:val="316131A9"/>
    <w:rsid w:val="32496CA0"/>
    <w:rsid w:val="32655E2A"/>
    <w:rsid w:val="327C1C20"/>
    <w:rsid w:val="32CB3650"/>
    <w:rsid w:val="3301204B"/>
    <w:rsid w:val="335A2605"/>
    <w:rsid w:val="338C4AD3"/>
    <w:rsid w:val="338D71AD"/>
    <w:rsid w:val="33CB4CD5"/>
    <w:rsid w:val="34412CF3"/>
    <w:rsid w:val="345243A5"/>
    <w:rsid w:val="34700D0F"/>
    <w:rsid w:val="349A5A79"/>
    <w:rsid w:val="34B15C87"/>
    <w:rsid w:val="34CD21C7"/>
    <w:rsid w:val="35312553"/>
    <w:rsid w:val="35582827"/>
    <w:rsid w:val="35E730A3"/>
    <w:rsid w:val="35ED3BD3"/>
    <w:rsid w:val="35FD747C"/>
    <w:rsid w:val="365B03F9"/>
    <w:rsid w:val="37254578"/>
    <w:rsid w:val="375F3F14"/>
    <w:rsid w:val="37BF2093"/>
    <w:rsid w:val="37F441B9"/>
    <w:rsid w:val="38404777"/>
    <w:rsid w:val="387A1F7E"/>
    <w:rsid w:val="389A1847"/>
    <w:rsid w:val="38F2275F"/>
    <w:rsid w:val="39040511"/>
    <w:rsid w:val="39621586"/>
    <w:rsid w:val="39EF0618"/>
    <w:rsid w:val="3A043DF4"/>
    <w:rsid w:val="3A080512"/>
    <w:rsid w:val="3A1512B3"/>
    <w:rsid w:val="3A694A82"/>
    <w:rsid w:val="3A9DA6FB"/>
    <w:rsid w:val="3AD83253"/>
    <w:rsid w:val="3AF31843"/>
    <w:rsid w:val="3B793F91"/>
    <w:rsid w:val="3B83628C"/>
    <w:rsid w:val="3B9B05B7"/>
    <w:rsid w:val="3CEED119"/>
    <w:rsid w:val="3D0F06AD"/>
    <w:rsid w:val="3D20061F"/>
    <w:rsid w:val="3D5239AF"/>
    <w:rsid w:val="3D6F7F2F"/>
    <w:rsid w:val="3D7DD463"/>
    <w:rsid w:val="3DB83E70"/>
    <w:rsid w:val="3EEFAA69"/>
    <w:rsid w:val="3EF708E1"/>
    <w:rsid w:val="3EFF9CE0"/>
    <w:rsid w:val="3F176B40"/>
    <w:rsid w:val="3F5F14C1"/>
    <w:rsid w:val="3F650270"/>
    <w:rsid w:val="3F7FA5E6"/>
    <w:rsid w:val="3F9E1648"/>
    <w:rsid w:val="3FCFAE44"/>
    <w:rsid w:val="3FE2505E"/>
    <w:rsid w:val="3FFF96D4"/>
    <w:rsid w:val="40020DD2"/>
    <w:rsid w:val="40857D8C"/>
    <w:rsid w:val="40FE1FED"/>
    <w:rsid w:val="41371A6C"/>
    <w:rsid w:val="413A4106"/>
    <w:rsid w:val="419D1B35"/>
    <w:rsid w:val="4224538E"/>
    <w:rsid w:val="422F6592"/>
    <w:rsid w:val="428668D7"/>
    <w:rsid w:val="42A3566B"/>
    <w:rsid w:val="43570DEB"/>
    <w:rsid w:val="43816BED"/>
    <w:rsid w:val="43C563C1"/>
    <w:rsid w:val="44024FD8"/>
    <w:rsid w:val="4455113C"/>
    <w:rsid w:val="446D7504"/>
    <w:rsid w:val="44755CDC"/>
    <w:rsid w:val="45027167"/>
    <w:rsid w:val="4542369A"/>
    <w:rsid w:val="45A12E46"/>
    <w:rsid w:val="45D52DA7"/>
    <w:rsid w:val="463D7F32"/>
    <w:rsid w:val="4677382F"/>
    <w:rsid w:val="467F1C7F"/>
    <w:rsid w:val="471B01DF"/>
    <w:rsid w:val="47406A82"/>
    <w:rsid w:val="47433054"/>
    <w:rsid w:val="479B6426"/>
    <w:rsid w:val="47D2611F"/>
    <w:rsid w:val="481644C2"/>
    <w:rsid w:val="48344A34"/>
    <w:rsid w:val="48AC7BFA"/>
    <w:rsid w:val="493538C3"/>
    <w:rsid w:val="498560DC"/>
    <w:rsid w:val="49B3701A"/>
    <w:rsid w:val="4A0F5A83"/>
    <w:rsid w:val="4AFA5A32"/>
    <w:rsid w:val="4B213B2A"/>
    <w:rsid w:val="4B2976A3"/>
    <w:rsid w:val="4B49688D"/>
    <w:rsid w:val="4BD58699"/>
    <w:rsid w:val="4BED16A3"/>
    <w:rsid w:val="4C2B37F1"/>
    <w:rsid w:val="4CAE5BEF"/>
    <w:rsid w:val="4CC3715E"/>
    <w:rsid w:val="4CD5413B"/>
    <w:rsid w:val="4CDB4BE1"/>
    <w:rsid w:val="4DF4513E"/>
    <w:rsid w:val="4E260238"/>
    <w:rsid w:val="4E466E86"/>
    <w:rsid w:val="4E4F9ED2"/>
    <w:rsid w:val="4E612CC0"/>
    <w:rsid w:val="4E890014"/>
    <w:rsid w:val="4E89484B"/>
    <w:rsid w:val="4F3C1B08"/>
    <w:rsid w:val="4F5404B9"/>
    <w:rsid w:val="4F903019"/>
    <w:rsid w:val="5000529E"/>
    <w:rsid w:val="5056237A"/>
    <w:rsid w:val="509A6308"/>
    <w:rsid w:val="510A1EA0"/>
    <w:rsid w:val="51941E88"/>
    <w:rsid w:val="51993A45"/>
    <w:rsid w:val="51C27C36"/>
    <w:rsid w:val="51D25C94"/>
    <w:rsid w:val="523C3B66"/>
    <w:rsid w:val="52CF5340"/>
    <w:rsid w:val="5314104B"/>
    <w:rsid w:val="5320097C"/>
    <w:rsid w:val="534D5869"/>
    <w:rsid w:val="53AF64ED"/>
    <w:rsid w:val="53B66046"/>
    <w:rsid w:val="546E11E4"/>
    <w:rsid w:val="5498468F"/>
    <w:rsid w:val="555B3A5A"/>
    <w:rsid w:val="563679DD"/>
    <w:rsid w:val="56434590"/>
    <w:rsid w:val="56B00FD0"/>
    <w:rsid w:val="574B7EF0"/>
    <w:rsid w:val="577101EB"/>
    <w:rsid w:val="57BB55F7"/>
    <w:rsid w:val="57BE31E9"/>
    <w:rsid w:val="588034E7"/>
    <w:rsid w:val="59F252EC"/>
    <w:rsid w:val="59F90D02"/>
    <w:rsid w:val="5A233645"/>
    <w:rsid w:val="5A8879FF"/>
    <w:rsid w:val="5AD17F34"/>
    <w:rsid w:val="5B1E3814"/>
    <w:rsid w:val="5B245675"/>
    <w:rsid w:val="5B2F5D32"/>
    <w:rsid w:val="5B892530"/>
    <w:rsid w:val="5B895DD9"/>
    <w:rsid w:val="5BBDFB24"/>
    <w:rsid w:val="5C600837"/>
    <w:rsid w:val="5D21333E"/>
    <w:rsid w:val="5D410E75"/>
    <w:rsid w:val="5D5A26AF"/>
    <w:rsid w:val="5D615D3A"/>
    <w:rsid w:val="5D77AADC"/>
    <w:rsid w:val="5D83738E"/>
    <w:rsid w:val="5DA15B36"/>
    <w:rsid w:val="5DD515C2"/>
    <w:rsid w:val="5DD763CB"/>
    <w:rsid w:val="5E0449A8"/>
    <w:rsid w:val="5E935346"/>
    <w:rsid w:val="5ECD34EB"/>
    <w:rsid w:val="5EFBF053"/>
    <w:rsid w:val="5F72661E"/>
    <w:rsid w:val="5F902328"/>
    <w:rsid w:val="5FA2709B"/>
    <w:rsid w:val="5FD22279"/>
    <w:rsid w:val="5FDE262D"/>
    <w:rsid w:val="5FEB3F95"/>
    <w:rsid w:val="5FF507A4"/>
    <w:rsid w:val="603C4C01"/>
    <w:rsid w:val="60B81042"/>
    <w:rsid w:val="6115184D"/>
    <w:rsid w:val="617D4774"/>
    <w:rsid w:val="61B66753"/>
    <w:rsid w:val="62327D8D"/>
    <w:rsid w:val="623D66C3"/>
    <w:rsid w:val="627607B6"/>
    <w:rsid w:val="62982E15"/>
    <w:rsid w:val="62A91235"/>
    <w:rsid w:val="62E13121"/>
    <w:rsid w:val="63040AAF"/>
    <w:rsid w:val="633E1DDE"/>
    <w:rsid w:val="63E54908"/>
    <w:rsid w:val="63FD3C98"/>
    <w:rsid w:val="64874848"/>
    <w:rsid w:val="64942467"/>
    <w:rsid w:val="64C657B4"/>
    <w:rsid w:val="64F7112F"/>
    <w:rsid w:val="64F77650"/>
    <w:rsid w:val="64FD224C"/>
    <w:rsid w:val="650066C9"/>
    <w:rsid w:val="658B75F0"/>
    <w:rsid w:val="659861F4"/>
    <w:rsid w:val="65F3776E"/>
    <w:rsid w:val="66305909"/>
    <w:rsid w:val="67171E5C"/>
    <w:rsid w:val="671C0935"/>
    <w:rsid w:val="67373603"/>
    <w:rsid w:val="678D5D32"/>
    <w:rsid w:val="686D4B85"/>
    <w:rsid w:val="68B97779"/>
    <w:rsid w:val="68BF1E6B"/>
    <w:rsid w:val="68E31298"/>
    <w:rsid w:val="690F6448"/>
    <w:rsid w:val="693A387D"/>
    <w:rsid w:val="6A0667AA"/>
    <w:rsid w:val="6A2E4C27"/>
    <w:rsid w:val="6A934AB4"/>
    <w:rsid w:val="6B462B77"/>
    <w:rsid w:val="6B4A3C48"/>
    <w:rsid w:val="6B5B6BDA"/>
    <w:rsid w:val="6B916097"/>
    <w:rsid w:val="6BD270F8"/>
    <w:rsid w:val="6BFE3BF6"/>
    <w:rsid w:val="6C7A72EF"/>
    <w:rsid w:val="6C7E6ED7"/>
    <w:rsid w:val="6CC327F8"/>
    <w:rsid w:val="6CFBE755"/>
    <w:rsid w:val="6D1D5619"/>
    <w:rsid w:val="6D791319"/>
    <w:rsid w:val="6DDA06F8"/>
    <w:rsid w:val="6DE62B4D"/>
    <w:rsid w:val="6E350582"/>
    <w:rsid w:val="6E706609"/>
    <w:rsid w:val="6E7E6B4D"/>
    <w:rsid w:val="6EA54930"/>
    <w:rsid w:val="6EDFACE6"/>
    <w:rsid w:val="6F38099B"/>
    <w:rsid w:val="6F5F70A2"/>
    <w:rsid w:val="6F8DBB6B"/>
    <w:rsid w:val="6FCF18B4"/>
    <w:rsid w:val="70577244"/>
    <w:rsid w:val="70754A43"/>
    <w:rsid w:val="70EC3761"/>
    <w:rsid w:val="70F3290C"/>
    <w:rsid w:val="71245D54"/>
    <w:rsid w:val="71D05D64"/>
    <w:rsid w:val="71EF0738"/>
    <w:rsid w:val="72085B35"/>
    <w:rsid w:val="72241155"/>
    <w:rsid w:val="72E33FD0"/>
    <w:rsid w:val="72E6577E"/>
    <w:rsid w:val="72F30DCE"/>
    <w:rsid w:val="72FDAD69"/>
    <w:rsid w:val="730B7C7F"/>
    <w:rsid w:val="737938AC"/>
    <w:rsid w:val="738C6007"/>
    <w:rsid w:val="73AC1760"/>
    <w:rsid w:val="73B26BC2"/>
    <w:rsid w:val="73E929CC"/>
    <w:rsid w:val="740A734A"/>
    <w:rsid w:val="742C178D"/>
    <w:rsid w:val="74835214"/>
    <w:rsid w:val="75457B90"/>
    <w:rsid w:val="755FFEBF"/>
    <w:rsid w:val="756041D3"/>
    <w:rsid w:val="75782139"/>
    <w:rsid w:val="759537CF"/>
    <w:rsid w:val="75A82210"/>
    <w:rsid w:val="75AA72F0"/>
    <w:rsid w:val="75CF3ADD"/>
    <w:rsid w:val="75CF67AD"/>
    <w:rsid w:val="75EF60D2"/>
    <w:rsid w:val="760536F3"/>
    <w:rsid w:val="76EC15F8"/>
    <w:rsid w:val="770204D2"/>
    <w:rsid w:val="7732EE8A"/>
    <w:rsid w:val="776F6B9C"/>
    <w:rsid w:val="77947B22"/>
    <w:rsid w:val="77E3CAA0"/>
    <w:rsid w:val="77EF3FBA"/>
    <w:rsid w:val="7816014E"/>
    <w:rsid w:val="78275558"/>
    <w:rsid w:val="783C2C65"/>
    <w:rsid w:val="7847373F"/>
    <w:rsid w:val="78510173"/>
    <w:rsid w:val="78600786"/>
    <w:rsid w:val="78E854AE"/>
    <w:rsid w:val="79174517"/>
    <w:rsid w:val="79422CA0"/>
    <w:rsid w:val="798A69FA"/>
    <w:rsid w:val="7A656A3A"/>
    <w:rsid w:val="7AA9294B"/>
    <w:rsid w:val="7B3658B8"/>
    <w:rsid w:val="7B8D055C"/>
    <w:rsid w:val="7B8E455A"/>
    <w:rsid w:val="7BDBCE9C"/>
    <w:rsid w:val="7BDEBD37"/>
    <w:rsid w:val="7BE3109F"/>
    <w:rsid w:val="7C757F60"/>
    <w:rsid w:val="7CB57EC2"/>
    <w:rsid w:val="7D5515E4"/>
    <w:rsid w:val="7D5B1BD5"/>
    <w:rsid w:val="7D723BD0"/>
    <w:rsid w:val="7D8B2F2E"/>
    <w:rsid w:val="7D8F5515"/>
    <w:rsid w:val="7DBF6CAA"/>
    <w:rsid w:val="7DCB3698"/>
    <w:rsid w:val="7DDA46C0"/>
    <w:rsid w:val="7DFB196C"/>
    <w:rsid w:val="7DFFB301"/>
    <w:rsid w:val="7EA62F5D"/>
    <w:rsid w:val="7EB36B8E"/>
    <w:rsid w:val="7EF8F5B7"/>
    <w:rsid w:val="7EFBA4F2"/>
    <w:rsid w:val="7EFC097A"/>
    <w:rsid w:val="7EFF9173"/>
    <w:rsid w:val="7F0E1870"/>
    <w:rsid w:val="7F6BD2D0"/>
    <w:rsid w:val="7FB76E4D"/>
    <w:rsid w:val="7FBD333E"/>
    <w:rsid w:val="7FD5637B"/>
    <w:rsid w:val="7FEB5F4E"/>
    <w:rsid w:val="7FFD0059"/>
    <w:rsid w:val="9F7BC47F"/>
    <w:rsid w:val="9FACECF6"/>
    <w:rsid w:val="A67E270B"/>
    <w:rsid w:val="AB5E6FF4"/>
    <w:rsid w:val="ACBE6581"/>
    <w:rsid w:val="ADE72F8E"/>
    <w:rsid w:val="AE33931B"/>
    <w:rsid w:val="BF5F9744"/>
    <w:rsid w:val="BFE7A803"/>
    <w:rsid w:val="BFF47BB7"/>
    <w:rsid w:val="BFFF3BA9"/>
    <w:rsid w:val="C7140D51"/>
    <w:rsid w:val="CB7F91D2"/>
    <w:rsid w:val="D6FF3D86"/>
    <w:rsid w:val="D7DFDFCE"/>
    <w:rsid w:val="D7FEB100"/>
    <w:rsid w:val="DD729F9F"/>
    <w:rsid w:val="DEA49840"/>
    <w:rsid w:val="DEFBEDEF"/>
    <w:rsid w:val="DF7B7279"/>
    <w:rsid w:val="DFB6D4A2"/>
    <w:rsid w:val="DFBC011B"/>
    <w:rsid w:val="DFE77C9E"/>
    <w:rsid w:val="DFEF9887"/>
    <w:rsid w:val="DFEFDB61"/>
    <w:rsid w:val="DFF317BE"/>
    <w:rsid w:val="DFFBF4DA"/>
    <w:rsid w:val="E1FDF3A5"/>
    <w:rsid w:val="E2EE7175"/>
    <w:rsid w:val="EAE7CE3E"/>
    <w:rsid w:val="EBC736DB"/>
    <w:rsid w:val="EBFB8C6C"/>
    <w:rsid w:val="ECE763C7"/>
    <w:rsid w:val="EDDB188F"/>
    <w:rsid w:val="EE7B9C95"/>
    <w:rsid w:val="EE7D8FF5"/>
    <w:rsid w:val="EF278774"/>
    <w:rsid w:val="EF55889F"/>
    <w:rsid w:val="EFCC0493"/>
    <w:rsid w:val="EFEF4C46"/>
    <w:rsid w:val="EFF766D9"/>
    <w:rsid w:val="F5FFC9B3"/>
    <w:rsid w:val="F66A74AA"/>
    <w:rsid w:val="F6FF1C7F"/>
    <w:rsid w:val="F7AB7383"/>
    <w:rsid w:val="F7B7B098"/>
    <w:rsid w:val="F7F85101"/>
    <w:rsid w:val="F7FFC328"/>
    <w:rsid w:val="F8DB0F17"/>
    <w:rsid w:val="FA3F71D5"/>
    <w:rsid w:val="FADF37B6"/>
    <w:rsid w:val="FB773E49"/>
    <w:rsid w:val="FB7F3E4F"/>
    <w:rsid w:val="FBFBE3A9"/>
    <w:rsid w:val="FBFF36C4"/>
    <w:rsid w:val="FE7F761A"/>
    <w:rsid w:val="FE9D3C0C"/>
    <w:rsid w:val="FEBDD7E3"/>
    <w:rsid w:val="FEFF9E75"/>
    <w:rsid w:val="FF5C5B0C"/>
    <w:rsid w:val="FFBF4044"/>
    <w:rsid w:val="FFBFB696"/>
    <w:rsid w:val="FFD8C4A9"/>
    <w:rsid w:val="FFECBD52"/>
    <w:rsid w:val="FFFBC6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4">
    <w:name w:val="heading 2"/>
    <w:basedOn w:val="1"/>
    <w:next w:val="1"/>
    <w:link w:val="16"/>
    <w:semiHidden/>
    <w:unhideWhenUsed/>
    <w:qFormat/>
    <w:uiPriority w:val="0"/>
    <w:pPr>
      <w:keepNext w:val="0"/>
      <w:keepLines w:val="0"/>
      <w:widowControl w:val="0"/>
      <w:suppressLineNumbers w:val="0"/>
      <w:spacing w:before="0" w:beforeAutospacing="1" w:after="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5">
    <w:name w:val="annotation text"/>
    <w:basedOn w:val="1"/>
    <w:qFormat/>
    <w:uiPriority w:val="0"/>
    <w:pPr>
      <w:jc w:val="left"/>
    </w:pPr>
  </w:style>
  <w:style w:type="paragraph" w:styleId="6">
    <w:name w:val="Body Text"/>
    <w:basedOn w:val="1"/>
    <w:next w:val="7"/>
    <w:link w:val="15"/>
    <w:qFormat/>
    <w:uiPriority w:val="0"/>
    <w:pPr>
      <w:spacing w:after="120"/>
    </w:pPr>
  </w:style>
  <w:style w:type="paragraph" w:customStyle="1" w:styleId="7">
    <w:name w:val="正文文本首行缩进1"/>
    <w:basedOn w:val="6"/>
    <w:qFormat/>
    <w:uiPriority w:val="99"/>
    <w:pPr>
      <w:spacing w:line="500" w:lineRule="exact"/>
      <w:ind w:firstLine="420"/>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link w:val="17"/>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5">
    <w:name w:val="正文文本 Char"/>
    <w:basedOn w:val="13"/>
    <w:link w:val="6"/>
    <w:qFormat/>
    <w:uiPriority w:val="0"/>
    <w:rPr>
      <w:kern w:val="2"/>
      <w:sz w:val="21"/>
      <w:szCs w:val="24"/>
    </w:rPr>
  </w:style>
  <w:style w:type="character" w:customStyle="1" w:styleId="16">
    <w:name w:val="标题 2 Char"/>
    <w:basedOn w:val="13"/>
    <w:link w:val="4"/>
    <w:qFormat/>
    <w:uiPriority w:val="0"/>
    <w:rPr>
      <w:rFonts w:hint="eastAsia" w:ascii="宋体" w:hAnsi="宋体" w:eastAsia="宋体" w:cs="宋体"/>
      <w:b/>
      <w:sz w:val="36"/>
      <w:szCs w:val="36"/>
    </w:rPr>
  </w:style>
  <w:style w:type="character" w:customStyle="1" w:styleId="17">
    <w:name w:val="正文首行缩进 Char"/>
    <w:basedOn w:val="15"/>
    <w:link w:val="10"/>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11092</Words>
  <Characters>11371</Characters>
  <Lines>0</Lines>
  <Paragraphs>0</Paragraphs>
  <TotalTime>6</TotalTime>
  <ScaleCrop>false</ScaleCrop>
  <LinksUpToDate>false</LinksUpToDate>
  <CharactersWithSpaces>11434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2023-12-15T19:02:00Z</dcterms:created>
  <dc:creator>蔡一雷</dc:creator>
  <cp:lastModifiedBy>Solitary Man。</cp:lastModifiedBy>
  <cp:lastPrinted>2024-07-24T23:59:00Z</cp:lastPrinted>
  <dcterms:modified xsi:type="dcterms:W3CDTF">2025-05-06T00:54:09Z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60E454A70A064263B4357320F4F0001D</vt:lpwstr>
  </property>
  <property fmtid="{D5CDD505-2E9C-101B-9397-08002B2CF9AE}" pid="4" name="KSOTemplateDocerSaveRecord">
    <vt:lpwstr>eyJoZGlkIjoiM2ZjNjg2MjJkODlkN2JiMjIwZTAwODNiNjhhZjYwMmYiLCJ1c2VySWQiOiIyMzQwODYwNjkifQ==</vt:lpwstr>
  </property>
</Properties>
</file>