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rPr>
          <w:rFonts w:hint="eastAsia" w:ascii="Times New Roman" w:hAnsi="Times New Roman" w:eastAsia="小标宋" w:cs="方正小标宋简体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小标宋" w:hAnsi="小标宋" w:eastAsia="小标宋" w:cs="小标宋"/>
          <w:spacing w:val="0"/>
          <w:sz w:val="44"/>
          <w:szCs w:val="44"/>
          <w:lang w:val="en-US" w:eastAsia="zh-CN"/>
        </w:rPr>
        <w:t>温州港航生产性服务业集聚区发展扶持暂行办法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的起草说明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right="0" w:rightChars="0"/>
        <w:jc w:val="center"/>
        <w:rPr>
          <w:rFonts w:hint="eastAsia" w:ascii="Times New Roman" w:hAnsi="Times New Roman" w:eastAsia="楷体" w:cs="楷体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Cs w:val="32"/>
          <w:lang w:val="en-US" w:eastAsia="zh-CN"/>
        </w:rPr>
        <w:t>区投资促进服务中心</w:t>
      </w:r>
    </w:p>
    <w:p>
      <w:pPr>
        <w:pStyle w:val="3"/>
        <w:keepNext w:val="0"/>
        <w:keepLines w:val="0"/>
        <w:pageBreakBefore w:val="0"/>
        <w:overflowPunct/>
        <w:topLinePunct w:val="0"/>
        <w:bidi w:val="0"/>
        <w:spacing w:line="560" w:lineRule="exact"/>
        <w:ind w:right="0" w:rightChars="0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right="0" w:rightChars="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区政府：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right="0" w:rightChars="0" w:firstLine="640" w:firstLineChars="200"/>
        <w:textAlignment w:val="baseline"/>
        <w:rPr>
          <w:rFonts w:hint="eastAsia" w:ascii="Times New Roman" w:hAnsi="Times New Roman"/>
          <w:color w:val="000000"/>
          <w:w w:val="80"/>
          <w:szCs w:val="32"/>
        </w:rPr>
      </w:pPr>
      <w:r>
        <w:rPr>
          <w:rFonts w:hint="eastAsia" w:ascii="Times New Roman" w:hAnsi="Times New Roman"/>
          <w:szCs w:val="32"/>
        </w:rPr>
        <w:t>根据会议安排，现将《</w:t>
      </w:r>
      <w:r>
        <w:rPr>
          <w:rFonts w:hint="eastAsia"/>
          <w:szCs w:val="32"/>
          <w:lang w:eastAsia="zh-CN"/>
        </w:rPr>
        <w:t>温州港航生产性服务业集聚区发展扶持暂行办法</w:t>
      </w:r>
      <w:r>
        <w:rPr>
          <w:rFonts w:hint="eastAsia" w:ascii="Times New Roman" w:hAnsi="Times New Roman"/>
          <w:szCs w:val="32"/>
        </w:rPr>
        <w:t>》</w:t>
      </w:r>
      <w:r>
        <w:rPr>
          <w:rFonts w:hint="eastAsia"/>
          <w:szCs w:val="32"/>
          <w:lang w:eastAsia="zh-CN"/>
        </w:rPr>
        <w:t>（</w:t>
      </w:r>
      <w:r>
        <w:rPr>
          <w:rFonts w:hint="eastAsia"/>
          <w:szCs w:val="32"/>
          <w:lang w:val="en-US" w:eastAsia="zh-CN"/>
        </w:rPr>
        <w:t>以下简称《暂行办法》</w:t>
      </w:r>
      <w:r>
        <w:rPr>
          <w:rFonts w:hint="eastAsia"/>
          <w:szCs w:val="32"/>
          <w:lang w:eastAsia="zh-CN"/>
        </w:rPr>
        <w:t>）</w:t>
      </w:r>
      <w:r>
        <w:rPr>
          <w:rFonts w:hint="eastAsia" w:ascii="Times New Roman" w:hAnsi="Times New Roman"/>
          <w:szCs w:val="32"/>
          <w:lang w:eastAsia="zh-CN"/>
        </w:rPr>
        <w:t>的</w:t>
      </w:r>
      <w:r>
        <w:rPr>
          <w:rFonts w:hint="eastAsia" w:ascii="Times New Roman" w:hAnsi="Times New Roman"/>
          <w:szCs w:val="32"/>
        </w:rPr>
        <w:t>有关情况汇报如下。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right="0" w:rightChars="0" w:firstLine="640" w:firstLineChars="200"/>
        <w:rPr>
          <w:rFonts w:hint="eastAsia"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一、出台政策的背景和依据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加快推进温州市港口建设发展，着力打造浙南近洋航运中心、浙南闽北赣东多式联运中心和四港联动示范市“两中心一示范”核心工程，建设国际集货拼箱基地、港航生产性服务业集聚区“一基地一集聚区”产业体系，推动金丽温开放大通道建设，建设更具活力的“千年商港、幸福温州”，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以来，市委市政府紧密联动积极对接省海港集团，致力在核心区集聚港航生产性服务业。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为确保政策的制定出台能有力吸引现代港航服务业企业（机构）落地，推动港航生产性服务业集聚发展，鹿城区多次牵头组织市、区相关部门，邀请市港航头部企业、港航领域专家学者研究讨论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经过多轮修改完善，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该文件的起草工作。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right="0" w:rightChars="0" w:firstLine="640" w:firstLineChars="200"/>
        <w:rPr>
          <w:rFonts w:hint="eastAsia"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二、前期研究讨论情况</w:t>
      </w:r>
    </w:p>
    <w:p>
      <w:pPr>
        <w:ind w:firstLine="640" w:firstLineChars="200"/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月29日，省海港集团同温州市政府签订全面合作战略框架协议，提出参照宁波、舟山港航集聚区发展政策，制定出台配套产业政策，作为项目进一步落地的前提条件。8月23日，杨胜杰常务副市长牵头召开港航生产性服务业集聚区建设会议，明确由鹿城区起草产业政策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8月30日，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zh-CN" w:bidi="zh-CN"/>
        </w:rPr>
        <w:t>林杰常务副区长</w:t>
      </w:r>
      <w:r>
        <w:rPr>
          <w:rFonts w:hint="eastAsia" w:ascii="Times New Roman" w:hAnsi="Times New Roman"/>
          <w:kern w:val="0"/>
          <w:sz w:val="32"/>
          <w:szCs w:val="32"/>
          <w:lang w:val="en-US" w:bidi="zh-CN"/>
        </w:rPr>
        <w:t>牵头召开港航生产性服务业集聚区政策研究会方案，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zh-CN" w:bidi="zh-CN"/>
        </w:rPr>
        <w:t>主要负责人、分管负责人；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  <w:lang w:val="zh-CN" w:bidi="zh-CN"/>
        </w:rPr>
        <w:t>区府办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zh-CN" w:bidi="zh-CN"/>
        </w:rPr>
        <w:t>、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bidi="zh-CN"/>
        </w:rPr>
        <w:t>区发改局、区交通运输局、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zh-CN" w:bidi="zh-CN"/>
        </w:rPr>
        <w:t>区投资促进服务中心</w:t>
      </w:r>
      <w:r>
        <w:rPr>
          <w:rFonts w:hint="eastAsia" w:ascii="Times New Roman" w:hAnsi="Times New Roman"/>
          <w:color w:val="000000"/>
          <w:kern w:val="0"/>
          <w:sz w:val="31"/>
          <w:szCs w:val="31"/>
          <w:lang w:val="zh-CN" w:bidi="zh-CN"/>
        </w:rPr>
        <w:t>、</w:t>
      </w:r>
      <w:r>
        <w:rPr>
          <w:rFonts w:ascii="Times New Roman" w:hAnsi="Times New Roman" w:eastAsia="仿宋_GB2312"/>
          <w:color w:val="000000"/>
          <w:kern w:val="0"/>
          <w:sz w:val="31"/>
          <w:szCs w:val="31"/>
          <w:lang w:val="zh-CN" w:bidi="zh-CN"/>
        </w:rPr>
        <w:t>滨江街道</w:t>
      </w:r>
      <w:r>
        <w:rPr>
          <w:rFonts w:hint="eastAsia" w:ascii="Times New Roman" w:hAnsi="Times New Roman"/>
          <w:color w:val="000000"/>
          <w:kern w:val="0"/>
          <w:sz w:val="31"/>
          <w:szCs w:val="31"/>
          <w:lang w:val="zh-CN" w:bidi="zh-CN"/>
        </w:rPr>
        <w:t>、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zh-CN" w:bidi="zh-CN"/>
        </w:rPr>
        <w:t>滨江商务区专班</w:t>
      </w:r>
      <w:r>
        <w:rPr>
          <w:rFonts w:hint="eastAsia" w:ascii="Times New Roman" w:hAnsi="Times New Roman"/>
          <w:color w:val="000000"/>
          <w:kern w:val="0"/>
          <w:sz w:val="31"/>
          <w:szCs w:val="31"/>
          <w:lang w:val="en-US" w:bidi="zh-CN"/>
        </w:rPr>
        <w:t>及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zh-CN" w:bidi="zh-CN"/>
        </w:rPr>
        <w:t>港航相关</w:t>
      </w:r>
      <w:r>
        <w:rPr>
          <w:rFonts w:hint="eastAsia" w:ascii="Times New Roman" w:hAnsi="Times New Roman" w:eastAsia="仿宋_GB2312"/>
          <w:color w:val="000000"/>
          <w:kern w:val="0"/>
          <w:sz w:val="31"/>
          <w:szCs w:val="31"/>
          <w:lang w:val="en-US" w:bidi="zh-CN"/>
        </w:rPr>
        <w:t>企业</w:t>
      </w:r>
      <w:r>
        <w:rPr>
          <w:rFonts w:hint="eastAsia" w:ascii="Times New Roman" w:hAnsi="Times New Roman"/>
          <w:color w:val="000000"/>
          <w:kern w:val="0"/>
          <w:sz w:val="31"/>
          <w:szCs w:val="31"/>
          <w:lang w:val="en-US" w:bidi="zh-CN"/>
        </w:rPr>
        <w:t>参会，就</w:t>
      </w:r>
      <w:r>
        <w:rPr>
          <w:rFonts w:hint="eastAsia"/>
          <w:szCs w:val="32"/>
          <w:lang w:val="en-US" w:eastAsia="zh-CN"/>
        </w:rPr>
        <w:t>《暂行办法》初稿听取各方意见，会后根据会议精神对政策进行调整；其间，区投促中心多次会同市交通局研究并优化政策条款；9月-10月，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杨胜杰常务副市长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吴曙光副秘书长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多次牵头召开会议研究港航生产性服务业集聚区建设工作，会议初步明确</w:t>
      </w:r>
      <w:r>
        <w:rPr>
          <w:rFonts w:hint="eastAsia"/>
          <w:szCs w:val="32"/>
          <w:lang w:val="en-US" w:eastAsia="zh-CN"/>
        </w:rPr>
        <w:t>《暂行办法》政策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奖励资金参照滨江25条政策市区比例安排。</w:t>
      </w:r>
      <w:r>
        <w:rPr>
          <w:rFonts w:hint="eastAsia"/>
          <w:color w:val="auto"/>
          <w:lang w:val="en-US" w:eastAsia="zh-CN"/>
        </w:rPr>
        <w:t>2023年3月，</w:t>
      </w:r>
      <w:r>
        <w:rPr>
          <w:rFonts w:hint="eastAsia" w:ascii="Times New Roman" w:hAnsi="Times New Roman"/>
          <w:color w:val="auto"/>
        </w:rPr>
        <w:t>区投促中心</w:t>
      </w:r>
      <w:r>
        <w:rPr>
          <w:rFonts w:hint="eastAsia"/>
          <w:color w:val="auto"/>
          <w:lang w:val="en-US" w:eastAsia="zh-CN"/>
        </w:rPr>
        <w:t>多次就政策文本征求有关部门意见，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并根据反馈情况修改完善，形成政策征求意见稿。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right="0" w:rightChars="0" w:firstLine="640" w:firstLineChars="200"/>
        <w:rPr>
          <w:rFonts w:hint="eastAsia"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三、主要内容和框架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1—3条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企业开办奖励，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主要针对市域外引进的港航基础业、港航辅助业及港航衍生服务业等现代港航服务业企业（机构）给予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不同程度落户奖；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第4—5条为企业办公补贴，主要为企业提供购买和租用核心区办公楼补贴；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6—8条为企业运营支持，从销售额、营业收入两个角度对总部型企业与非总部型企业提供运营奖励；同时鼓励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企业开展国际船舶安全管理业务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9—10条为企业高管（人才）政策，该部分一是针对高管的收入贡献进行奖励，二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是集聚全市最优教育资源，符合条件的企业人才可以享受子女入学和购房优惠，特别提到对于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3000总吨以上船长及3000千瓦以上轮机长类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人员，该类人才经验丰富、专业性强，对于行业发展带动具有较强针对性；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第11—17条为企业公共服务配套，主要为船舶管理和航运配套奖励，结合温州航运发展实际，对货代企业出货不同标箱、航运企业新增不同船舶数量，给予奖励。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right="0" w:rightChars="0" w:firstLine="640" w:firstLineChars="200"/>
        <w:jc w:val="left"/>
        <w:rPr>
          <w:rFonts w:hint="eastAsia" w:ascii="Times New Roman" w:hAnsi="Times New Roman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附则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部分对政策的适用对象，资金安排，重复、叠加和进等奖励，</w:t>
      </w:r>
      <w:r>
        <w:rPr>
          <w:rFonts w:hint="default" w:ascii="仿宋_GB2312" w:hAnsi="仿宋_GB2312" w:cs="仿宋_GB2312"/>
          <w:kern w:val="2"/>
          <w:sz w:val="32"/>
          <w:szCs w:val="32"/>
          <w:lang w:val="en-US" w:eastAsia="zh-CN" w:bidi="ar-SA"/>
        </w:rPr>
        <w:t>执行效力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等事宜做出了解释，并包含名词解释。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B9C9E2-8C9F-457C-9D5A-AF68E87612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9DDC3FD-0E6F-44FC-89C4-5BBB38F4C56D}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75D3105-568D-482B-8CB3-D0F046C855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007EC5B-8801-4E7A-AE1A-51DD71C9285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B110D07A-A8E1-4A1E-A6E5-93791BC9D71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408CE47-D0E4-43D3-B2DF-BBD2187303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22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2IxNWJiNWUzOTc0ZmJmNDMxMGQ2ZDYzMDhkNzMifQ=="/>
  </w:docVars>
  <w:rsids>
    <w:rsidRoot w:val="00000000"/>
    <w:rsid w:val="1DEF0B4F"/>
    <w:rsid w:val="2F096939"/>
    <w:rsid w:val="35D0485C"/>
    <w:rsid w:val="39CB3DB0"/>
    <w:rsid w:val="4A325785"/>
    <w:rsid w:val="59E01AC6"/>
    <w:rsid w:val="63CA7C70"/>
    <w:rsid w:val="68B36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1262</Words>
  <Characters>1287</Characters>
  <Lines>0</Lines>
  <Paragraphs>0</Paragraphs>
  <TotalTime>36</TotalTime>
  <ScaleCrop>false</ScaleCrop>
  <LinksUpToDate>false</LinksUpToDate>
  <CharactersWithSpaces>1287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2022-01-16T02:05:00Z</dcterms:created>
  <dc:creator>lyyy</dc:creator>
  <cp:lastModifiedBy>林赛群</cp:lastModifiedBy>
  <cp:lastPrinted>2023-03-22T07:11:00Z</cp:lastPrinted>
  <dcterms:modified xsi:type="dcterms:W3CDTF">2023-03-27T03:01:46Z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51846BD4258C4F37AC44E44E7739C363</vt:lpwstr>
  </property>
</Properties>
</file>