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小标宋简体" w:cs="Times New Roman"/>
          <w:b w:val="0"/>
          <w:bCs w:val="0"/>
          <w:color w:val="auto"/>
          <w:sz w:val="44"/>
          <w:szCs w:val="44"/>
          <w:highlight w:val="none"/>
          <w:lang w:val="en-US" w:eastAsia="zh-CN"/>
        </w:rPr>
      </w:pPr>
      <w:r>
        <w:rPr>
          <w:rFonts w:hint="default" w:ascii="Times New Roman" w:hAnsi="Times New Roman" w:eastAsia="方正小标宋简体" w:cs="Times New Roman"/>
          <w:b w:val="0"/>
          <w:bCs w:val="0"/>
          <w:color w:val="auto"/>
          <w:sz w:val="44"/>
          <w:szCs w:val="44"/>
          <w:highlight w:val="none"/>
          <w:lang w:val="en-US" w:eastAsia="zh-CN"/>
        </w:rPr>
        <w:t>松阳县</w:t>
      </w:r>
      <w:r>
        <w:rPr>
          <w:rFonts w:hint="eastAsia" w:ascii="Times New Roman" w:hAnsi="Times New Roman" w:eastAsia="方正小标宋简体" w:cs="Times New Roman"/>
          <w:b w:val="0"/>
          <w:bCs w:val="0"/>
          <w:color w:val="auto"/>
          <w:sz w:val="44"/>
          <w:szCs w:val="44"/>
          <w:highlight w:val="none"/>
          <w:lang w:val="en-US" w:eastAsia="zh-CN"/>
        </w:rPr>
        <w:t>加快</w:t>
      </w:r>
      <w:r>
        <w:rPr>
          <w:rFonts w:hint="default" w:ascii="Times New Roman" w:hAnsi="Times New Roman" w:eastAsia="方正小标宋简体" w:cs="Times New Roman"/>
          <w:b w:val="0"/>
          <w:bCs w:val="0"/>
          <w:color w:val="auto"/>
          <w:sz w:val="44"/>
          <w:szCs w:val="44"/>
          <w:highlight w:val="none"/>
          <w:lang w:val="en-US" w:eastAsia="zh-CN"/>
        </w:rPr>
        <w:t>不锈钢</w:t>
      </w:r>
      <w:r>
        <w:rPr>
          <w:rFonts w:hint="eastAsia" w:ascii="Times New Roman" w:hAnsi="Times New Roman" w:eastAsia="方正小标宋简体" w:cs="Times New Roman"/>
          <w:b w:val="0"/>
          <w:bCs w:val="0"/>
          <w:color w:val="auto"/>
          <w:sz w:val="44"/>
          <w:szCs w:val="44"/>
          <w:highlight w:val="none"/>
          <w:lang w:val="en-US" w:eastAsia="zh-CN"/>
        </w:rPr>
        <w:t>管</w:t>
      </w:r>
      <w:r>
        <w:rPr>
          <w:rFonts w:hint="default" w:ascii="Times New Roman" w:hAnsi="Times New Roman" w:eastAsia="方正小标宋简体" w:cs="Times New Roman"/>
          <w:b w:val="0"/>
          <w:bCs w:val="0"/>
          <w:color w:val="auto"/>
          <w:sz w:val="44"/>
          <w:szCs w:val="44"/>
          <w:highlight w:val="none"/>
          <w:lang w:val="en-US" w:eastAsia="zh-CN"/>
        </w:rPr>
        <w:t>产业转型升级</w:t>
      </w:r>
      <w:r>
        <w:rPr>
          <w:rFonts w:hint="eastAsia" w:ascii="Times New Roman" w:hAnsi="Times New Roman" w:eastAsia="方正小标宋简体" w:cs="Times New Roman"/>
          <w:b w:val="0"/>
          <w:bCs w:val="0"/>
          <w:color w:val="auto"/>
          <w:sz w:val="44"/>
          <w:szCs w:val="44"/>
          <w:highlight w:val="none"/>
          <w:lang w:val="en-US" w:eastAsia="zh-CN"/>
        </w:rPr>
        <w:t>若干</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小标宋简体" w:cs="Times New Roman"/>
          <w:b w:val="0"/>
          <w:bCs w:val="0"/>
          <w:color w:val="auto"/>
          <w:sz w:val="44"/>
          <w:szCs w:val="44"/>
          <w:highlight w:val="none"/>
          <w:lang w:val="en-US" w:eastAsia="zh-CN"/>
        </w:rPr>
      </w:pPr>
      <w:r>
        <w:rPr>
          <w:rFonts w:hint="default" w:ascii="Times New Roman" w:hAnsi="Times New Roman" w:eastAsia="方正小标宋简体" w:cs="Times New Roman"/>
          <w:b w:val="0"/>
          <w:bCs w:val="0"/>
          <w:color w:val="auto"/>
          <w:sz w:val="44"/>
          <w:szCs w:val="44"/>
          <w:highlight w:val="none"/>
          <w:lang w:val="en-US" w:eastAsia="zh-CN"/>
        </w:rPr>
        <w:t>政策</w:t>
      </w:r>
      <w:r>
        <w:rPr>
          <w:rFonts w:hint="eastAsia" w:ascii="Times New Roman" w:hAnsi="Times New Roman" w:eastAsia="方正小标宋简体" w:cs="Times New Roman"/>
          <w:b w:val="0"/>
          <w:bCs w:val="0"/>
          <w:color w:val="auto"/>
          <w:sz w:val="44"/>
          <w:szCs w:val="44"/>
          <w:highlight w:val="none"/>
          <w:lang w:val="en-US" w:eastAsia="zh-CN"/>
        </w:rPr>
        <w:t>措施</w:t>
      </w:r>
      <w:r>
        <w:rPr>
          <w:rFonts w:hint="default" w:ascii="Times New Roman" w:hAnsi="Times New Roman" w:eastAsia="方正小标宋简体" w:cs="Times New Roman"/>
          <w:b w:val="0"/>
          <w:bCs w:val="0"/>
          <w:color w:val="auto"/>
          <w:sz w:val="44"/>
          <w:szCs w:val="44"/>
          <w:highlight w:val="none"/>
          <w:lang w:val="en-US" w:eastAsia="zh-CN"/>
        </w:rPr>
        <w:t>（征求意见稿）</w:t>
      </w:r>
    </w:p>
    <w:p>
      <w:pPr>
        <w:pStyle w:val="1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00" w:lineRule="exact"/>
        <w:ind w:left="0" w:leftChars="0" w:right="0" w:rightChars="0"/>
        <w:jc w:val="center"/>
        <w:textAlignment w:val="auto"/>
        <w:outlineLvl w:val="9"/>
        <w:rPr>
          <w:rFonts w:hint="default" w:ascii="Times New Roman" w:hAnsi="Times New Roman" w:eastAsia="方正小标宋简体" w:cs="Times New Roman"/>
          <w:b w:val="0"/>
          <w:bCs w:val="0"/>
          <w:color w:val="auto"/>
          <w:sz w:val="44"/>
          <w:szCs w:val="44"/>
          <w:highlight w:val="none"/>
          <w:lang w:val="en-US" w:eastAsia="zh-CN"/>
        </w:rPr>
      </w:pPr>
    </w:p>
    <w:p>
      <w:pPr>
        <w:pStyle w:val="1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60" w:lineRule="exact"/>
        <w:ind w:left="0" w:leftChars="0" w:right="0" w:rightChars="0" w:firstLine="615"/>
        <w:jc w:val="both"/>
        <w:textAlignment w:val="auto"/>
        <w:outlineLvl w:val="9"/>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仿宋_GB2312" w:cs="Times New Roman"/>
          <w:b w:val="0"/>
          <w:bCs w:val="0"/>
          <w:color w:val="auto"/>
          <w:kern w:val="0"/>
          <w:sz w:val="32"/>
          <w:szCs w:val="32"/>
          <w:highlight w:val="none"/>
          <w:lang w:val="en-US" w:eastAsia="zh-CN"/>
        </w:rPr>
        <w:t>为贯彻落实省委省政府关于加快推进制造业高质量发展和传统制造业改造提升系列决策部署，</w:t>
      </w:r>
      <w:r>
        <w:rPr>
          <w:rFonts w:hint="eastAsia" w:ascii="Times New Roman" w:hAnsi="Times New Roman" w:eastAsia="仿宋_GB2312" w:cs="Times New Roman"/>
          <w:b w:val="0"/>
          <w:bCs w:val="0"/>
          <w:strike w:val="0"/>
          <w:dstrike w:val="0"/>
          <w:color w:val="auto"/>
          <w:kern w:val="0"/>
          <w:sz w:val="32"/>
          <w:szCs w:val="32"/>
          <w:highlight w:val="none"/>
          <w:lang w:val="en-US" w:eastAsia="zh-CN"/>
        </w:rPr>
        <w:t>全面推进省“415X”先进制造业集群培育工程及市“</w:t>
      </w:r>
      <w:r>
        <w:rPr>
          <w:rFonts w:hint="default" w:ascii="Times New Roman" w:hAnsi="Times New Roman" w:eastAsia="仿宋_GB2312" w:cs="Times New Roman"/>
          <w:b w:val="0"/>
          <w:bCs w:val="0"/>
          <w:strike w:val="0"/>
          <w:dstrike w:val="0"/>
          <w:color w:val="auto"/>
          <w:kern w:val="0"/>
          <w:sz w:val="32"/>
          <w:szCs w:val="32"/>
          <w:highlight w:val="none"/>
          <w:lang w:val="en-US" w:eastAsia="zh-CN"/>
        </w:rPr>
        <w:t>1315</w:t>
      </w:r>
      <w:r>
        <w:rPr>
          <w:rFonts w:hint="eastAsia" w:ascii="Times New Roman" w:hAnsi="Times New Roman" w:eastAsia="仿宋_GB2312" w:cs="Times New Roman"/>
          <w:b w:val="0"/>
          <w:bCs w:val="0"/>
          <w:strike w:val="0"/>
          <w:dstrike w:val="0"/>
          <w:color w:val="auto"/>
          <w:kern w:val="0"/>
          <w:sz w:val="32"/>
          <w:szCs w:val="32"/>
          <w:highlight w:val="none"/>
          <w:lang w:val="en-US" w:eastAsia="zh-CN"/>
        </w:rPr>
        <w:t>”</w:t>
      </w:r>
      <w:r>
        <w:rPr>
          <w:rFonts w:hint="default" w:ascii="Times New Roman" w:hAnsi="Times New Roman" w:eastAsia="仿宋_GB2312" w:cs="Times New Roman"/>
          <w:b w:val="0"/>
          <w:bCs w:val="0"/>
          <w:strike w:val="0"/>
          <w:dstrike w:val="0"/>
          <w:color w:val="auto"/>
          <w:kern w:val="0"/>
          <w:sz w:val="32"/>
          <w:szCs w:val="32"/>
          <w:highlight w:val="none"/>
          <w:lang w:val="en-US" w:eastAsia="zh-CN"/>
        </w:rPr>
        <w:t>特色产业链培育工程</w:t>
      </w:r>
      <w:r>
        <w:rPr>
          <w:rFonts w:hint="eastAsia" w:ascii="Times New Roman" w:hAnsi="Times New Roman" w:eastAsia="仿宋_GB2312" w:cs="Times New Roman"/>
          <w:b w:val="0"/>
          <w:bCs w:val="0"/>
          <w:strike w:val="0"/>
          <w:dstrike w:val="0"/>
          <w:color w:val="auto"/>
          <w:kern w:val="0"/>
          <w:sz w:val="32"/>
          <w:szCs w:val="32"/>
          <w:highlight w:val="none"/>
          <w:lang w:val="en-US" w:eastAsia="zh-CN"/>
        </w:rPr>
        <w:t>，</w:t>
      </w:r>
      <w:r>
        <w:rPr>
          <w:rFonts w:hint="eastAsia" w:ascii="Times New Roman" w:hAnsi="Times New Roman" w:eastAsia="仿宋_GB2312" w:cs="Times New Roman"/>
          <w:b w:val="0"/>
          <w:bCs w:val="0"/>
          <w:color w:val="auto"/>
          <w:kern w:val="0"/>
          <w:sz w:val="32"/>
          <w:szCs w:val="32"/>
          <w:highlight w:val="none"/>
          <w:lang w:val="en-US" w:eastAsia="zh-CN"/>
        </w:rPr>
        <w:t>根据</w:t>
      </w:r>
      <w:r>
        <w:rPr>
          <w:rFonts w:hint="default" w:ascii="Times New Roman" w:hAnsi="Times New Roman" w:eastAsia="仿宋_GB2312" w:cs="Times New Roman"/>
          <w:b w:val="0"/>
          <w:bCs w:val="0"/>
          <w:color w:val="auto"/>
          <w:kern w:val="0"/>
          <w:sz w:val="32"/>
          <w:szCs w:val="32"/>
          <w:highlight w:val="none"/>
          <w:lang w:val="en-US" w:eastAsia="zh-CN"/>
        </w:rPr>
        <w:t>《浙江省</w:t>
      </w:r>
      <w:r>
        <w:rPr>
          <w:rFonts w:hint="eastAsia" w:ascii="Times New Roman" w:hAnsi="Times New Roman" w:eastAsia="仿宋_GB2312" w:cs="Times New Roman"/>
          <w:b w:val="0"/>
          <w:bCs w:val="0"/>
          <w:color w:val="auto"/>
          <w:kern w:val="0"/>
          <w:sz w:val="32"/>
          <w:szCs w:val="32"/>
          <w:highlight w:val="none"/>
          <w:lang w:val="en-US" w:eastAsia="zh-CN"/>
        </w:rPr>
        <w:t>“</w:t>
      </w:r>
      <w:r>
        <w:rPr>
          <w:rFonts w:hint="default" w:ascii="Times New Roman" w:hAnsi="Times New Roman" w:eastAsia="仿宋_GB2312" w:cs="Times New Roman"/>
          <w:b w:val="0"/>
          <w:bCs w:val="0"/>
          <w:color w:val="auto"/>
          <w:kern w:val="0"/>
          <w:sz w:val="32"/>
          <w:szCs w:val="32"/>
          <w:highlight w:val="none"/>
          <w:lang w:val="en-US" w:eastAsia="zh-CN"/>
        </w:rPr>
        <w:t>415X</w:t>
      </w:r>
      <w:r>
        <w:rPr>
          <w:rFonts w:hint="eastAsia" w:ascii="Times New Roman" w:hAnsi="Times New Roman" w:eastAsia="仿宋_GB2312" w:cs="Times New Roman"/>
          <w:b w:val="0"/>
          <w:bCs w:val="0"/>
          <w:color w:val="auto"/>
          <w:kern w:val="0"/>
          <w:sz w:val="32"/>
          <w:szCs w:val="32"/>
          <w:highlight w:val="none"/>
          <w:lang w:val="en-US" w:eastAsia="zh-CN"/>
        </w:rPr>
        <w:t>”</w:t>
      </w:r>
      <w:r>
        <w:rPr>
          <w:rFonts w:hint="default" w:ascii="Times New Roman" w:hAnsi="Times New Roman" w:eastAsia="仿宋_GB2312" w:cs="Times New Roman"/>
          <w:b w:val="0"/>
          <w:bCs w:val="0"/>
          <w:color w:val="auto"/>
          <w:kern w:val="0"/>
          <w:sz w:val="32"/>
          <w:szCs w:val="32"/>
          <w:highlight w:val="none"/>
          <w:lang w:val="en-US" w:eastAsia="zh-CN"/>
        </w:rPr>
        <w:t>先进制造业集群建设行动方案（2023</w:t>
      </w:r>
      <w:r>
        <w:rPr>
          <w:rFonts w:hint="eastAsia" w:ascii="Times New Roman" w:hAnsi="Times New Roman" w:eastAsia="仿宋_GB2312" w:cs="Times New Roman"/>
          <w:b w:val="0"/>
          <w:bCs w:val="0"/>
          <w:color w:val="auto"/>
          <w:kern w:val="0"/>
          <w:sz w:val="32"/>
          <w:szCs w:val="32"/>
          <w:highlight w:val="none"/>
          <w:lang w:val="en-US" w:eastAsia="zh-CN"/>
        </w:rPr>
        <w:t>-</w:t>
      </w:r>
      <w:r>
        <w:rPr>
          <w:rFonts w:hint="default" w:ascii="Times New Roman" w:hAnsi="Times New Roman" w:eastAsia="仿宋_GB2312" w:cs="Times New Roman"/>
          <w:b w:val="0"/>
          <w:bCs w:val="0"/>
          <w:color w:val="auto"/>
          <w:kern w:val="0"/>
          <w:sz w:val="32"/>
          <w:szCs w:val="32"/>
          <w:highlight w:val="none"/>
          <w:lang w:val="en-US" w:eastAsia="zh-CN"/>
        </w:rPr>
        <w:t>2027年）》</w:t>
      </w:r>
      <w:r>
        <w:rPr>
          <w:rFonts w:hint="eastAsia" w:ascii="Times New Roman" w:hAnsi="Times New Roman" w:eastAsia="仿宋_GB2312" w:cs="Times New Roman"/>
          <w:b w:val="0"/>
          <w:bCs w:val="0"/>
          <w:color w:val="auto"/>
          <w:kern w:val="0"/>
          <w:sz w:val="32"/>
          <w:szCs w:val="32"/>
          <w:highlight w:val="none"/>
          <w:lang w:val="en-US" w:eastAsia="zh-CN"/>
        </w:rPr>
        <w:t>和《丽水市“1315”特色产业链培育工程行动方案（2023-2027年）》等文件精神，实施新一轮制造业“</w:t>
      </w:r>
      <w:r>
        <w:rPr>
          <w:rFonts w:hint="default" w:ascii="Times New Roman" w:hAnsi="Times New Roman" w:eastAsia="仿宋_GB2312" w:cs="Times New Roman"/>
          <w:b w:val="0"/>
          <w:bCs w:val="0"/>
          <w:color w:val="auto"/>
          <w:kern w:val="0"/>
          <w:sz w:val="32"/>
          <w:szCs w:val="32"/>
          <w:highlight w:val="none"/>
          <w:lang w:val="en-US" w:eastAsia="zh-CN"/>
        </w:rPr>
        <w:t>腾笼换鸟、凤凰涅槃</w:t>
      </w:r>
      <w:r>
        <w:rPr>
          <w:rFonts w:hint="eastAsia" w:ascii="Times New Roman" w:hAnsi="Times New Roman" w:eastAsia="仿宋_GB2312" w:cs="Times New Roman"/>
          <w:b w:val="0"/>
          <w:bCs w:val="0"/>
          <w:color w:val="auto"/>
          <w:kern w:val="0"/>
          <w:sz w:val="32"/>
          <w:szCs w:val="32"/>
          <w:highlight w:val="none"/>
          <w:lang w:val="en-US" w:eastAsia="zh-CN"/>
        </w:rPr>
        <w:t>”</w:t>
      </w:r>
      <w:r>
        <w:rPr>
          <w:rFonts w:hint="default" w:ascii="Times New Roman" w:hAnsi="Times New Roman" w:eastAsia="仿宋_GB2312" w:cs="Times New Roman"/>
          <w:b w:val="0"/>
          <w:bCs w:val="0"/>
          <w:color w:val="auto"/>
          <w:kern w:val="0"/>
          <w:sz w:val="32"/>
          <w:szCs w:val="32"/>
          <w:highlight w:val="none"/>
          <w:lang w:val="en-US" w:eastAsia="zh-CN"/>
        </w:rPr>
        <w:t>攻坚行动，加快推进全县不锈钢管产业转型升级</w:t>
      </w:r>
      <w:r>
        <w:rPr>
          <w:rFonts w:hint="default" w:ascii="Times New Roman" w:hAnsi="Times New Roman" w:eastAsia="仿宋_GB2312" w:cs="Times New Roman"/>
          <w:b w:val="0"/>
          <w:bCs w:val="0"/>
          <w:color w:val="auto"/>
          <w:sz w:val="32"/>
          <w:szCs w:val="32"/>
          <w:highlight w:val="none"/>
          <w:lang w:eastAsia="zh-CN"/>
        </w:rPr>
        <w:t>，</w:t>
      </w:r>
      <w:r>
        <w:rPr>
          <w:rFonts w:hint="eastAsia" w:ascii="Times New Roman" w:hAnsi="Times New Roman" w:eastAsia="仿宋_GB2312" w:cs="Times New Roman"/>
          <w:b w:val="0"/>
          <w:bCs w:val="0"/>
          <w:color w:val="auto"/>
          <w:sz w:val="32"/>
          <w:szCs w:val="32"/>
          <w:highlight w:val="none"/>
          <w:lang w:eastAsia="zh-CN"/>
        </w:rPr>
        <w:t>结合我县实际，</w:t>
      </w:r>
      <w:r>
        <w:rPr>
          <w:rFonts w:hint="default" w:ascii="Times New Roman" w:hAnsi="Times New Roman" w:eastAsia="仿宋_GB2312" w:cs="Times New Roman"/>
          <w:b w:val="0"/>
          <w:bCs w:val="0"/>
          <w:color w:val="auto"/>
          <w:sz w:val="32"/>
          <w:szCs w:val="32"/>
          <w:highlight w:val="none"/>
          <w:lang w:val="en-US" w:eastAsia="zh-CN"/>
        </w:rPr>
        <w:t>特制定本政策</w:t>
      </w:r>
      <w:r>
        <w:rPr>
          <w:rFonts w:hint="eastAsia" w:ascii="Times New Roman" w:hAnsi="Times New Roman" w:eastAsia="仿宋_GB2312" w:cs="Times New Roman"/>
          <w:b w:val="0"/>
          <w:bCs w:val="0"/>
          <w:color w:val="auto"/>
          <w:sz w:val="32"/>
          <w:szCs w:val="32"/>
          <w:highlight w:val="none"/>
          <w:lang w:val="en-US" w:eastAsia="zh-CN"/>
        </w:rPr>
        <w:t>措施</w:t>
      </w:r>
      <w:r>
        <w:rPr>
          <w:rFonts w:hint="default" w:ascii="Times New Roman" w:hAnsi="Times New Roman" w:eastAsia="仿宋_GB2312" w:cs="Times New Roman"/>
          <w:b w:val="0"/>
          <w:bCs w:val="0"/>
          <w:color w:val="auto"/>
          <w:sz w:val="32"/>
          <w:szCs w:val="32"/>
          <w:highlight w:val="none"/>
          <w:lang w:val="en-US" w:eastAsia="zh-CN"/>
        </w:rPr>
        <w:t>。</w:t>
      </w:r>
    </w:p>
    <w:p>
      <w:pPr>
        <w:keepNext w:val="0"/>
        <w:keepLines w:val="0"/>
        <w:pageBreakBefore w:val="0"/>
        <w:numPr>
          <w:ilvl w:val="0"/>
          <w:numId w:val="0"/>
        </w:numPr>
        <w:kinsoku/>
        <w:wordWrap/>
        <w:overflowPunct/>
        <w:topLinePunct w:val="0"/>
        <w:autoSpaceDE/>
        <w:autoSpaceDN/>
        <w:bidi w:val="0"/>
        <w:snapToGrid w:val="0"/>
        <w:spacing w:line="560" w:lineRule="exact"/>
        <w:ind w:left="0" w:leftChars="0" w:right="0" w:rightChars="0" w:firstLine="632" w:firstLineChars="200"/>
        <w:textAlignment w:val="auto"/>
        <w:outlineLvl w:val="9"/>
        <w:rPr>
          <w:rFonts w:hint="default"/>
          <w:lang w:val="en-US" w:eastAsia="zh-CN"/>
        </w:rPr>
      </w:pPr>
      <w:r>
        <w:rPr>
          <w:rFonts w:hint="eastAsia" w:ascii="Times New Roman" w:hAnsi="Times New Roman" w:eastAsia="仿宋_GB2312" w:cs="Times New Roman"/>
          <w:b w:val="0"/>
          <w:bCs w:val="0"/>
          <w:color w:val="auto"/>
          <w:kern w:val="0"/>
          <w:sz w:val="32"/>
          <w:szCs w:val="32"/>
          <w:highlight w:val="none"/>
          <w:lang w:val="en-US" w:eastAsia="zh-CN" w:bidi="ar-SA"/>
        </w:rPr>
        <w:t>在达到不锈钢</w:t>
      </w:r>
      <w:r>
        <w:rPr>
          <w:rFonts w:hint="eastAsia" w:cs="Times New Roman"/>
          <w:b w:val="0"/>
          <w:bCs w:val="0"/>
          <w:color w:val="auto"/>
          <w:kern w:val="0"/>
          <w:sz w:val="32"/>
          <w:szCs w:val="32"/>
          <w:highlight w:val="none"/>
          <w:lang w:val="en-US" w:eastAsia="zh-CN" w:bidi="ar-SA"/>
        </w:rPr>
        <w:t>管</w:t>
      </w:r>
      <w:r>
        <w:rPr>
          <w:rFonts w:hint="eastAsia" w:ascii="Times New Roman" w:hAnsi="Times New Roman" w:eastAsia="仿宋_GB2312" w:cs="Times New Roman"/>
          <w:b w:val="0"/>
          <w:bCs w:val="0"/>
          <w:color w:val="auto"/>
          <w:kern w:val="0"/>
          <w:sz w:val="32"/>
          <w:szCs w:val="32"/>
          <w:highlight w:val="none"/>
          <w:lang w:val="en-US" w:eastAsia="zh-CN" w:bidi="ar-SA"/>
        </w:rPr>
        <w:t>企业最低入园标准</w:t>
      </w:r>
      <w:r>
        <w:rPr>
          <w:rFonts w:hint="eastAsia" w:cs="Times New Roman"/>
          <w:b w:val="0"/>
          <w:bCs w:val="0"/>
          <w:color w:val="auto"/>
          <w:kern w:val="0"/>
          <w:sz w:val="32"/>
          <w:szCs w:val="32"/>
          <w:highlight w:val="none"/>
          <w:lang w:val="en-US" w:eastAsia="zh-CN" w:bidi="ar-SA"/>
        </w:rPr>
        <w:t>以及按照《松阳县不锈钢管行业生产管理整治提升行动工作方案》开展到位</w:t>
      </w:r>
      <w:r>
        <w:rPr>
          <w:rFonts w:hint="eastAsia" w:ascii="Times New Roman" w:hAnsi="Times New Roman" w:eastAsia="仿宋_GB2312" w:cs="Times New Roman"/>
          <w:b w:val="0"/>
          <w:bCs w:val="0"/>
          <w:color w:val="auto"/>
          <w:kern w:val="0"/>
          <w:sz w:val="32"/>
          <w:szCs w:val="32"/>
          <w:highlight w:val="none"/>
          <w:lang w:val="en-US" w:eastAsia="zh-CN" w:bidi="ar-SA"/>
        </w:rPr>
        <w:t>的前提下可以享受1-7条政策，其中</w:t>
      </w:r>
      <w:r>
        <w:rPr>
          <w:rFonts w:hint="eastAsia" w:cs="Times New Roman"/>
          <w:b w:val="0"/>
          <w:bCs w:val="0"/>
          <w:color w:val="auto"/>
          <w:kern w:val="0"/>
          <w:sz w:val="32"/>
          <w:szCs w:val="32"/>
          <w:highlight w:val="none"/>
          <w:lang w:val="en-US" w:eastAsia="zh-CN" w:bidi="ar-SA"/>
        </w:rPr>
        <w:t>投资强度和用地集约两项指标仅针对新供地项目。</w:t>
      </w:r>
    </w:p>
    <w:p>
      <w:pPr>
        <w:keepNext w:val="0"/>
        <w:keepLines w:val="0"/>
        <w:pageBreakBefore w:val="0"/>
        <w:numPr>
          <w:ilvl w:val="0"/>
          <w:numId w:val="0"/>
        </w:numPr>
        <w:kinsoku/>
        <w:wordWrap/>
        <w:overflowPunct/>
        <w:topLinePunct w:val="0"/>
        <w:autoSpaceDE/>
        <w:autoSpaceDN/>
        <w:bidi w:val="0"/>
        <w:snapToGrid w:val="0"/>
        <w:spacing w:line="560" w:lineRule="exact"/>
        <w:ind w:left="0" w:leftChars="0" w:right="0" w:rightChars="0" w:firstLine="632" w:firstLineChars="200"/>
        <w:textAlignment w:val="auto"/>
        <w:outlineLvl w:val="9"/>
        <w:rPr>
          <w:rFonts w:hint="default" w:ascii="Times New Roman" w:hAnsi="Times New Roman" w:eastAsia="仿宋_GB2312" w:cs="Times New Roman"/>
          <w:b w:val="0"/>
          <w:bCs w:val="0"/>
          <w:snapToGrid w:val="0"/>
          <w:color w:val="auto"/>
          <w:spacing w:val="0"/>
          <w:w w:val="100"/>
          <w:kern w:val="0"/>
          <w:sz w:val="32"/>
          <w:szCs w:val="32"/>
          <w:highlight w:val="none"/>
          <w:u w:val="none"/>
          <w:lang w:val="en-US" w:eastAsia="zh-CN"/>
        </w:rPr>
      </w:pPr>
      <w:r>
        <w:rPr>
          <w:rFonts w:hint="eastAsia" w:eastAsia="楷体_GB2312" w:cs="Times New Roman"/>
          <w:b w:val="0"/>
          <w:bCs w:val="0"/>
          <w:snapToGrid w:val="0"/>
          <w:color w:val="auto"/>
          <w:spacing w:val="0"/>
          <w:w w:val="100"/>
          <w:kern w:val="0"/>
          <w:sz w:val="32"/>
          <w:szCs w:val="32"/>
          <w:highlight w:val="none"/>
          <w:u w:val="none"/>
          <w:lang w:val="en-US" w:eastAsia="zh-CN" w:bidi="ar-SA"/>
        </w:rPr>
        <w:t>1</w:t>
      </w:r>
      <w:r>
        <w:rPr>
          <w:rFonts w:hint="eastAsia" w:eastAsia="楷体_GB2312" w:cs="Times New Roman"/>
          <w:b w:val="0"/>
          <w:bCs w:val="0"/>
          <w:snapToGrid w:val="0"/>
          <w:color w:val="auto"/>
          <w:kern w:val="0"/>
          <w:sz w:val="32"/>
          <w:szCs w:val="32"/>
          <w:highlight w:val="none"/>
          <w:lang w:val="en-US" w:eastAsia="zh-CN" w:bidi="ar-SA"/>
        </w:rPr>
        <w:t>.鼓励</w:t>
      </w:r>
      <w:r>
        <w:rPr>
          <w:rFonts w:hint="default" w:eastAsia="楷体_GB2312" w:cs="Times New Roman"/>
          <w:b w:val="0"/>
          <w:bCs w:val="0"/>
          <w:snapToGrid w:val="0"/>
          <w:color w:val="auto"/>
          <w:kern w:val="0"/>
          <w:sz w:val="32"/>
          <w:szCs w:val="32"/>
          <w:highlight w:val="none"/>
          <w:lang w:val="en-US" w:eastAsia="zh-CN" w:bidi="ar-SA"/>
        </w:rPr>
        <w:t>集约节约用地</w:t>
      </w:r>
      <w:r>
        <w:rPr>
          <w:rFonts w:hint="eastAsia" w:eastAsia="楷体_GB2312" w:cs="Times New Roman"/>
          <w:b w:val="0"/>
          <w:bCs w:val="0"/>
          <w:snapToGrid w:val="0"/>
          <w:color w:val="auto"/>
          <w:kern w:val="0"/>
          <w:sz w:val="32"/>
          <w:szCs w:val="32"/>
          <w:highlight w:val="none"/>
          <w:lang w:val="en-US" w:eastAsia="zh-CN" w:bidi="ar-SA"/>
        </w:rPr>
        <w:t>。</w:t>
      </w:r>
      <w:r>
        <w:rPr>
          <w:rFonts w:hint="default" w:ascii="Times New Roman" w:hAnsi="Times New Roman" w:eastAsia="仿宋_GB2312" w:cs="Times New Roman"/>
          <w:b w:val="0"/>
          <w:bCs w:val="0"/>
          <w:color w:val="auto"/>
          <w:kern w:val="2"/>
          <w:sz w:val="32"/>
          <w:szCs w:val="22"/>
          <w:highlight w:val="none"/>
          <w:lang w:val="en-US" w:eastAsia="zh-CN" w:bidi="ar-SA"/>
        </w:rPr>
        <w:t>新</w:t>
      </w:r>
      <w:r>
        <w:rPr>
          <w:rFonts w:hint="eastAsia" w:cs="Times New Roman"/>
          <w:b w:val="0"/>
          <w:bCs w:val="0"/>
          <w:color w:val="auto"/>
          <w:kern w:val="2"/>
          <w:sz w:val="32"/>
          <w:szCs w:val="22"/>
          <w:highlight w:val="none"/>
          <w:lang w:val="en-US" w:eastAsia="zh-CN" w:bidi="ar-SA"/>
        </w:rPr>
        <w:t>供地</w:t>
      </w:r>
      <w:r>
        <w:rPr>
          <w:rFonts w:hint="default" w:ascii="Times New Roman" w:hAnsi="Times New Roman" w:eastAsia="仿宋_GB2312" w:cs="Times New Roman"/>
          <w:b w:val="0"/>
          <w:bCs w:val="0"/>
          <w:color w:val="auto"/>
          <w:kern w:val="2"/>
          <w:sz w:val="32"/>
          <w:szCs w:val="22"/>
          <w:highlight w:val="none"/>
          <w:lang w:val="en-US" w:eastAsia="zh-CN" w:bidi="ar-SA"/>
        </w:rPr>
        <w:t>企业</w:t>
      </w:r>
      <w:r>
        <w:rPr>
          <w:rFonts w:hint="eastAsia" w:cs="Times New Roman"/>
          <w:b w:val="0"/>
          <w:bCs w:val="0"/>
          <w:color w:val="auto"/>
          <w:kern w:val="2"/>
          <w:sz w:val="32"/>
          <w:szCs w:val="22"/>
          <w:highlight w:val="none"/>
          <w:lang w:val="en-US" w:eastAsia="zh-CN" w:bidi="ar-SA"/>
        </w:rPr>
        <w:t>竣工投产验收</w:t>
      </w:r>
      <w:r>
        <w:rPr>
          <w:rFonts w:hint="default" w:ascii="Times New Roman" w:hAnsi="Times New Roman" w:eastAsia="仿宋_GB2312" w:cs="Times New Roman"/>
          <w:b w:val="0"/>
          <w:bCs w:val="0"/>
          <w:color w:val="auto"/>
          <w:kern w:val="2"/>
          <w:sz w:val="32"/>
          <w:szCs w:val="22"/>
          <w:highlight w:val="none"/>
          <w:lang w:val="en-US" w:eastAsia="zh-CN" w:bidi="ar-SA"/>
        </w:rPr>
        <w:t>后，</w:t>
      </w:r>
      <w:r>
        <w:rPr>
          <w:rFonts w:hint="default" w:ascii="Times New Roman" w:hAnsi="Times New Roman" w:eastAsia="仿宋_GB2312" w:cs="Times New Roman"/>
          <w:b w:val="0"/>
          <w:bCs w:val="0"/>
          <w:snapToGrid w:val="0"/>
          <w:color w:val="auto"/>
          <w:spacing w:val="0"/>
          <w:w w:val="100"/>
          <w:kern w:val="0"/>
          <w:sz w:val="32"/>
          <w:szCs w:val="32"/>
          <w:highlight w:val="none"/>
          <w:u w:val="none"/>
          <w:lang w:val="en-US" w:eastAsia="en-US"/>
        </w:rPr>
        <w:t>第</w:t>
      </w:r>
      <w:r>
        <w:rPr>
          <w:rFonts w:hint="default" w:ascii="Times New Roman" w:hAnsi="Times New Roman" w:eastAsia="仿宋_GB2312" w:cs="Times New Roman"/>
          <w:b w:val="0"/>
          <w:bCs w:val="0"/>
          <w:snapToGrid w:val="0"/>
          <w:color w:val="auto"/>
          <w:spacing w:val="0"/>
          <w:w w:val="100"/>
          <w:kern w:val="0"/>
          <w:sz w:val="32"/>
          <w:szCs w:val="32"/>
          <w:highlight w:val="none"/>
          <w:u w:val="none"/>
          <w:lang w:val="en-US" w:eastAsia="zh-CN"/>
        </w:rPr>
        <w:t>二</w:t>
      </w:r>
      <w:r>
        <w:rPr>
          <w:rFonts w:hint="default" w:ascii="Times New Roman" w:hAnsi="Times New Roman" w:eastAsia="仿宋_GB2312" w:cs="Times New Roman"/>
          <w:b w:val="0"/>
          <w:bCs w:val="0"/>
          <w:snapToGrid w:val="0"/>
          <w:color w:val="auto"/>
          <w:spacing w:val="0"/>
          <w:w w:val="100"/>
          <w:kern w:val="0"/>
          <w:sz w:val="32"/>
          <w:szCs w:val="32"/>
          <w:highlight w:val="none"/>
          <w:u w:val="none"/>
          <w:lang w:val="en-US" w:eastAsia="en-US"/>
        </w:rPr>
        <w:t>层及以上生产性用房</w:t>
      </w:r>
      <w:r>
        <w:rPr>
          <w:rFonts w:hint="eastAsia" w:cs="Times New Roman"/>
          <w:b w:val="0"/>
          <w:bCs w:val="0"/>
          <w:snapToGrid w:val="0"/>
          <w:color w:val="auto"/>
          <w:spacing w:val="0"/>
          <w:w w:val="100"/>
          <w:kern w:val="0"/>
          <w:sz w:val="32"/>
          <w:szCs w:val="32"/>
          <w:highlight w:val="none"/>
          <w:u w:val="none"/>
          <w:lang w:val="en-US" w:eastAsia="zh-CN"/>
        </w:rPr>
        <w:t>按取得不动产权证建筑面积给予</w:t>
      </w:r>
      <w:r>
        <w:rPr>
          <w:rFonts w:hint="default" w:ascii="Times New Roman" w:hAnsi="Times New Roman" w:eastAsia="仿宋_GB2312" w:cs="Times New Roman"/>
          <w:b w:val="0"/>
          <w:bCs w:val="0"/>
          <w:snapToGrid w:val="0"/>
          <w:color w:val="auto"/>
          <w:spacing w:val="0"/>
          <w:w w:val="100"/>
          <w:kern w:val="0"/>
          <w:sz w:val="32"/>
          <w:szCs w:val="32"/>
          <w:highlight w:val="none"/>
          <w:u w:val="none"/>
          <w:lang w:val="en-US" w:eastAsia="zh-CN"/>
        </w:rPr>
        <w:t>300元/平方米</w:t>
      </w:r>
      <w:r>
        <w:rPr>
          <w:rFonts w:hint="default" w:ascii="Times New Roman" w:hAnsi="Times New Roman" w:eastAsia="仿宋_GB2312" w:cs="Times New Roman"/>
          <w:b w:val="0"/>
          <w:bCs w:val="0"/>
          <w:snapToGrid w:val="0"/>
          <w:color w:val="auto"/>
          <w:spacing w:val="0"/>
          <w:w w:val="100"/>
          <w:kern w:val="0"/>
          <w:sz w:val="32"/>
          <w:szCs w:val="32"/>
          <w:highlight w:val="none"/>
          <w:u w:val="none"/>
          <w:lang w:eastAsia="zh-CN"/>
        </w:rPr>
        <w:t>奖励</w:t>
      </w:r>
      <w:r>
        <w:rPr>
          <w:rFonts w:hint="default" w:ascii="Times New Roman" w:hAnsi="Times New Roman" w:eastAsia="仿宋_GB2312" w:cs="Times New Roman"/>
          <w:b w:val="0"/>
          <w:bCs w:val="0"/>
          <w:snapToGrid w:val="0"/>
          <w:color w:val="auto"/>
          <w:spacing w:val="0"/>
          <w:w w:val="100"/>
          <w:kern w:val="0"/>
          <w:sz w:val="32"/>
          <w:szCs w:val="32"/>
          <w:highlight w:val="none"/>
          <w:u w:val="none"/>
          <w:lang w:val="en-US" w:eastAsia="zh-CN"/>
        </w:rPr>
        <w:t>。企业</w:t>
      </w:r>
      <w:r>
        <w:rPr>
          <w:rFonts w:hint="default" w:ascii="Times New Roman" w:hAnsi="Times New Roman" w:eastAsia="仿宋_GB2312" w:cs="Times New Roman"/>
          <w:b w:val="0"/>
          <w:bCs w:val="0"/>
          <w:snapToGrid w:val="0"/>
          <w:color w:val="auto"/>
          <w:spacing w:val="0"/>
          <w:w w:val="100"/>
          <w:kern w:val="0"/>
          <w:sz w:val="32"/>
          <w:szCs w:val="32"/>
          <w:highlight w:val="none"/>
          <w:u w:val="none"/>
          <w:lang w:val="en-US" w:eastAsia="en-US"/>
        </w:rPr>
        <w:t>达产验收后，在</w:t>
      </w:r>
      <w:r>
        <w:rPr>
          <w:rFonts w:hint="eastAsia" w:cs="Times New Roman"/>
          <w:b w:val="0"/>
          <w:bCs w:val="0"/>
          <w:strike w:val="0"/>
          <w:snapToGrid w:val="0"/>
          <w:color w:val="auto"/>
          <w:spacing w:val="0"/>
          <w:w w:val="100"/>
          <w:kern w:val="0"/>
          <w:sz w:val="32"/>
          <w:szCs w:val="32"/>
          <w:highlight w:val="none"/>
          <w:u w:val="none"/>
          <w:lang w:val="en-US" w:eastAsia="zh-CN"/>
        </w:rPr>
        <w:t>存量工业用地上</w:t>
      </w:r>
      <w:r>
        <w:rPr>
          <w:rFonts w:hint="default" w:ascii="Times New Roman" w:hAnsi="Times New Roman" w:eastAsia="仿宋_GB2312" w:cs="Times New Roman"/>
          <w:b w:val="0"/>
          <w:bCs w:val="0"/>
          <w:snapToGrid w:val="0"/>
          <w:color w:val="auto"/>
          <w:spacing w:val="0"/>
          <w:w w:val="100"/>
          <w:kern w:val="0"/>
          <w:sz w:val="32"/>
          <w:szCs w:val="32"/>
          <w:highlight w:val="none"/>
          <w:u w:val="none"/>
          <w:lang w:val="en-US" w:eastAsia="en-US"/>
        </w:rPr>
        <w:t>经</w:t>
      </w:r>
      <w:r>
        <w:rPr>
          <w:rFonts w:hint="eastAsia" w:cs="Times New Roman"/>
          <w:b w:val="0"/>
          <w:bCs w:val="0"/>
          <w:snapToGrid w:val="0"/>
          <w:color w:val="auto"/>
          <w:spacing w:val="0"/>
          <w:w w:val="100"/>
          <w:kern w:val="0"/>
          <w:sz w:val="32"/>
          <w:szCs w:val="32"/>
          <w:highlight w:val="none"/>
          <w:u w:val="none"/>
          <w:lang w:val="en-US" w:eastAsia="zh-CN"/>
        </w:rPr>
        <w:t>依法</w:t>
      </w:r>
      <w:r>
        <w:rPr>
          <w:rFonts w:hint="default" w:ascii="Times New Roman" w:hAnsi="Times New Roman" w:eastAsia="仿宋_GB2312" w:cs="Times New Roman"/>
          <w:b w:val="0"/>
          <w:bCs w:val="0"/>
          <w:snapToGrid w:val="0"/>
          <w:color w:val="auto"/>
          <w:spacing w:val="0"/>
          <w:w w:val="100"/>
          <w:kern w:val="0"/>
          <w:sz w:val="32"/>
          <w:szCs w:val="32"/>
          <w:highlight w:val="none"/>
          <w:u w:val="none"/>
          <w:lang w:val="en-US" w:eastAsia="en-US"/>
        </w:rPr>
        <w:t>批准实施的加层或翻建、改建、扩建等扩大生产用房</w:t>
      </w:r>
      <w:r>
        <w:rPr>
          <w:rFonts w:hint="eastAsia" w:cs="Times New Roman"/>
          <w:b w:val="0"/>
          <w:bCs w:val="0"/>
          <w:snapToGrid w:val="0"/>
          <w:color w:val="auto"/>
          <w:spacing w:val="0"/>
          <w:w w:val="100"/>
          <w:kern w:val="0"/>
          <w:sz w:val="32"/>
          <w:szCs w:val="32"/>
          <w:highlight w:val="none"/>
          <w:u w:val="none"/>
          <w:lang w:val="en-US" w:eastAsia="zh-CN"/>
        </w:rPr>
        <w:t>的</w:t>
      </w:r>
      <w:r>
        <w:rPr>
          <w:rFonts w:hint="default" w:cs="Times New Roman"/>
          <w:b w:val="0"/>
          <w:bCs w:val="0"/>
          <w:snapToGrid w:val="0"/>
          <w:color w:val="auto"/>
          <w:spacing w:val="0"/>
          <w:w w:val="100"/>
          <w:kern w:val="0"/>
          <w:sz w:val="32"/>
          <w:szCs w:val="32"/>
          <w:highlight w:val="none"/>
          <w:u w:val="none"/>
          <w:lang w:val="en-US" w:eastAsia="zh-CN"/>
        </w:rPr>
        <w:t>技改</w:t>
      </w:r>
      <w:r>
        <w:rPr>
          <w:rFonts w:hint="eastAsia" w:cs="Times New Roman"/>
          <w:b w:val="0"/>
          <w:bCs w:val="0"/>
          <w:snapToGrid w:val="0"/>
          <w:color w:val="auto"/>
          <w:spacing w:val="0"/>
          <w:w w:val="100"/>
          <w:kern w:val="0"/>
          <w:sz w:val="32"/>
          <w:szCs w:val="32"/>
          <w:highlight w:val="none"/>
          <w:u w:val="none"/>
          <w:lang w:val="en-US" w:eastAsia="zh-CN"/>
        </w:rPr>
        <w:t>项目，重新取得不动产权证并投入生产</w:t>
      </w:r>
      <w:r>
        <w:rPr>
          <w:rFonts w:hint="default" w:ascii="Times New Roman" w:hAnsi="Times New Roman" w:eastAsia="仿宋_GB2312" w:cs="Times New Roman"/>
          <w:b w:val="0"/>
          <w:bCs w:val="0"/>
          <w:snapToGrid w:val="0"/>
          <w:color w:val="auto"/>
          <w:spacing w:val="0"/>
          <w:w w:val="100"/>
          <w:kern w:val="0"/>
          <w:sz w:val="32"/>
          <w:szCs w:val="32"/>
          <w:highlight w:val="none"/>
          <w:u w:val="none"/>
          <w:lang w:val="en-US" w:eastAsia="en-US"/>
        </w:rPr>
        <w:t>，</w:t>
      </w:r>
      <w:r>
        <w:rPr>
          <w:rFonts w:hint="default" w:ascii="Times New Roman" w:hAnsi="Times New Roman" w:eastAsia="仿宋_GB2312" w:cs="Times New Roman"/>
          <w:b w:val="0"/>
          <w:bCs w:val="0"/>
          <w:snapToGrid w:val="0"/>
          <w:color w:val="auto"/>
          <w:spacing w:val="0"/>
          <w:w w:val="100"/>
          <w:kern w:val="0"/>
          <w:sz w:val="32"/>
          <w:szCs w:val="32"/>
          <w:highlight w:val="none"/>
          <w:u w:val="none"/>
          <w:lang w:eastAsia="en-US"/>
        </w:rPr>
        <w:t>新增的</w:t>
      </w:r>
      <w:r>
        <w:rPr>
          <w:rFonts w:hint="default" w:ascii="Times New Roman" w:hAnsi="Times New Roman" w:eastAsia="仿宋_GB2312" w:cs="Times New Roman"/>
          <w:b w:val="0"/>
          <w:bCs w:val="0"/>
          <w:snapToGrid w:val="0"/>
          <w:color w:val="auto"/>
          <w:spacing w:val="0"/>
          <w:w w:val="100"/>
          <w:kern w:val="0"/>
          <w:sz w:val="32"/>
          <w:szCs w:val="32"/>
          <w:highlight w:val="none"/>
          <w:u w:val="none"/>
          <w:lang w:val="en-US" w:eastAsia="en-US"/>
        </w:rPr>
        <w:t>第</w:t>
      </w:r>
      <w:r>
        <w:rPr>
          <w:rFonts w:hint="default" w:ascii="Times New Roman" w:hAnsi="Times New Roman" w:eastAsia="仿宋_GB2312" w:cs="Times New Roman"/>
          <w:b w:val="0"/>
          <w:bCs w:val="0"/>
          <w:snapToGrid w:val="0"/>
          <w:color w:val="auto"/>
          <w:spacing w:val="0"/>
          <w:w w:val="100"/>
          <w:kern w:val="0"/>
          <w:sz w:val="32"/>
          <w:szCs w:val="32"/>
          <w:highlight w:val="none"/>
          <w:u w:val="none"/>
          <w:lang w:val="en-US" w:eastAsia="zh-CN"/>
        </w:rPr>
        <w:t>二</w:t>
      </w:r>
      <w:r>
        <w:rPr>
          <w:rFonts w:hint="default" w:ascii="Times New Roman" w:hAnsi="Times New Roman" w:eastAsia="仿宋_GB2312" w:cs="Times New Roman"/>
          <w:b w:val="0"/>
          <w:bCs w:val="0"/>
          <w:snapToGrid w:val="0"/>
          <w:color w:val="auto"/>
          <w:spacing w:val="0"/>
          <w:w w:val="100"/>
          <w:kern w:val="0"/>
          <w:sz w:val="32"/>
          <w:szCs w:val="32"/>
          <w:highlight w:val="none"/>
          <w:u w:val="none"/>
          <w:lang w:val="en-US" w:eastAsia="en-US"/>
        </w:rPr>
        <w:t>层及以上生产性用房</w:t>
      </w:r>
      <w:r>
        <w:rPr>
          <w:rFonts w:hint="eastAsia" w:cs="Times New Roman"/>
          <w:b w:val="0"/>
          <w:bCs w:val="0"/>
          <w:snapToGrid w:val="0"/>
          <w:color w:val="auto"/>
          <w:spacing w:val="0"/>
          <w:w w:val="100"/>
          <w:kern w:val="0"/>
          <w:sz w:val="32"/>
          <w:szCs w:val="32"/>
          <w:highlight w:val="none"/>
          <w:u w:val="none"/>
          <w:lang w:val="en-US" w:eastAsia="zh-CN"/>
        </w:rPr>
        <w:t>按取得不动产权证建筑面积给予</w:t>
      </w:r>
      <w:r>
        <w:rPr>
          <w:rFonts w:hint="default" w:ascii="Times New Roman" w:hAnsi="Times New Roman" w:eastAsia="仿宋_GB2312" w:cs="Times New Roman"/>
          <w:b w:val="0"/>
          <w:bCs w:val="0"/>
          <w:snapToGrid w:val="0"/>
          <w:color w:val="auto"/>
          <w:spacing w:val="0"/>
          <w:w w:val="100"/>
          <w:kern w:val="0"/>
          <w:sz w:val="32"/>
          <w:szCs w:val="32"/>
          <w:highlight w:val="none"/>
          <w:u w:val="none"/>
          <w:lang w:val="en-US" w:eastAsia="zh-CN"/>
        </w:rPr>
        <w:t>300元/平方米</w:t>
      </w:r>
      <w:r>
        <w:rPr>
          <w:rFonts w:hint="default" w:ascii="Times New Roman" w:hAnsi="Times New Roman" w:eastAsia="仿宋_GB2312" w:cs="Times New Roman"/>
          <w:b w:val="0"/>
          <w:bCs w:val="0"/>
          <w:snapToGrid w:val="0"/>
          <w:color w:val="auto"/>
          <w:spacing w:val="0"/>
          <w:w w:val="100"/>
          <w:kern w:val="0"/>
          <w:sz w:val="32"/>
          <w:szCs w:val="32"/>
          <w:highlight w:val="none"/>
          <w:u w:val="none"/>
          <w:lang w:eastAsia="zh-CN"/>
        </w:rPr>
        <w:t>奖励</w:t>
      </w:r>
      <w:r>
        <w:rPr>
          <w:rFonts w:hint="default" w:ascii="Times New Roman" w:hAnsi="Times New Roman" w:eastAsia="仿宋_GB2312" w:cs="Times New Roman"/>
          <w:b w:val="0"/>
          <w:bCs w:val="0"/>
          <w:snapToGrid w:val="0"/>
          <w:color w:val="auto"/>
          <w:spacing w:val="0"/>
          <w:w w:val="100"/>
          <w:kern w:val="0"/>
          <w:sz w:val="32"/>
          <w:szCs w:val="32"/>
          <w:highlight w:val="none"/>
          <w:u w:val="none"/>
          <w:lang w:val="en-US" w:eastAsia="zh-CN"/>
        </w:rPr>
        <w:t>。</w:t>
      </w:r>
      <w:r>
        <w:rPr>
          <w:rFonts w:hint="eastAsia" w:ascii="仿宋_GB2312" w:hAnsi="仿宋_GB2312" w:eastAsia="仿宋_GB2312" w:cs="仿宋_GB2312"/>
          <w:b w:val="0"/>
          <w:bCs w:val="0"/>
          <w:snapToGrid w:val="0"/>
          <w:color w:val="auto"/>
          <w:spacing w:val="0"/>
          <w:w w:val="100"/>
          <w:kern w:val="0"/>
          <w:sz w:val="32"/>
          <w:szCs w:val="32"/>
          <w:highlight w:val="none"/>
          <w:u w:val="none"/>
          <w:lang w:val="en-US" w:eastAsia="zh-CN"/>
        </w:rPr>
        <w:t>单家企业奖励金额最高不超过1000万元。</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32" w:firstLineChars="200"/>
        <w:jc w:val="both"/>
        <w:textAlignment w:val="auto"/>
        <w:outlineLvl w:val="9"/>
        <w:rPr>
          <w:rFonts w:hint="eastAsia" w:eastAsia="仿宋_GB2312" w:cs="Times New Roman"/>
          <w:b w:val="0"/>
          <w:bCs w:val="0"/>
          <w:snapToGrid/>
          <w:color w:val="auto"/>
          <w:spacing w:val="0"/>
          <w:w w:val="100"/>
          <w:kern w:val="2"/>
          <w:sz w:val="32"/>
          <w:szCs w:val="32"/>
          <w:highlight w:val="none"/>
          <w:u w:val="none"/>
          <w:lang w:val="en-US" w:eastAsia="zh-CN" w:bidi="ar-SA"/>
        </w:rPr>
      </w:pPr>
      <w:r>
        <w:rPr>
          <w:rFonts w:hint="eastAsia" w:eastAsia="楷体_GB2312" w:cs="Times New Roman"/>
          <w:b w:val="0"/>
          <w:bCs w:val="0"/>
          <w:snapToGrid w:val="0"/>
          <w:color w:val="auto"/>
          <w:spacing w:val="0"/>
          <w:w w:val="100"/>
          <w:kern w:val="0"/>
          <w:sz w:val="32"/>
          <w:szCs w:val="32"/>
          <w:highlight w:val="none"/>
          <w:u w:val="none"/>
          <w:lang w:val="en-US" w:eastAsia="zh-CN" w:bidi="ar-SA"/>
        </w:rPr>
        <w:t>2.</w:t>
      </w:r>
      <w:r>
        <w:rPr>
          <w:rFonts w:hint="default" w:eastAsia="楷体_GB2312" w:cs="Times New Roman"/>
          <w:b w:val="0"/>
          <w:bCs w:val="0"/>
          <w:snapToGrid w:val="0"/>
          <w:color w:val="auto"/>
          <w:spacing w:val="0"/>
          <w:w w:val="100"/>
          <w:kern w:val="0"/>
          <w:sz w:val="32"/>
          <w:szCs w:val="32"/>
          <w:highlight w:val="none"/>
          <w:u w:val="none"/>
          <w:lang w:val="en-US" w:eastAsia="zh-CN" w:bidi="ar-SA"/>
        </w:rPr>
        <w:t>支持产业链公共服务配套设施建设</w:t>
      </w:r>
      <w:r>
        <w:rPr>
          <w:rFonts w:hint="eastAsia" w:eastAsia="楷体_GB2312" w:cs="Times New Roman"/>
          <w:b w:val="0"/>
          <w:bCs w:val="0"/>
          <w:snapToGrid w:val="0"/>
          <w:color w:val="auto"/>
          <w:spacing w:val="0"/>
          <w:w w:val="100"/>
          <w:kern w:val="0"/>
          <w:sz w:val="32"/>
          <w:szCs w:val="32"/>
          <w:highlight w:val="none"/>
          <w:u w:val="none"/>
          <w:lang w:val="en-US" w:eastAsia="zh-CN" w:bidi="ar-SA"/>
        </w:rPr>
        <w:t>。</w:t>
      </w:r>
      <w:r>
        <w:rPr>
          <w:rFonts w:hint="eastAsia" w:eastAsia="仿宋_GB2312" w:cs="Times New Roman"/>
          <w:b w:val="0"/>
          <w:bCs w:val="0"/>
          <w:snapToGrid/>
          <w:color w:val="auto"/>
          <w:spacing w:val="0"/>
          <w:w w:val="100"/>
          <w:kern w:val="2"/>
          <w:sz w:val="32"/>
          <w:szCs w:val="32"/>
          <w:highlight w:val="none"/>
          <w:u w:val="none"/>
          <w:lang w:val="en-US" w:eastAsia="zh-CN" w:bidi="ar-SA"/>
        </w:rPr>
        <w:t>对于符合我县不锈钢管产业整体发展规划要求的</w:t>
      </w:r>
      <w:r>
        <w:rPr>
          <w:rFonts w:hint="eastAsia" w:cs="Times New Roman"/>
          <w:b w:val="0"/>
          <w:bCs w:val="0"/>
          <w:snapToGrid/>
          <w:color w:val="auto"/>
          <w:spacing w:val="0"/>
          <w:w w:val="100"/>
          <w:kern w:val="2"/>
          <w:sz w:val="32"/>
          <w:szCs w:val="32"/>
          <w:highlight w:val="none"/>
          <w:u w:val="none"/>
          <w:lang w:val="en-US" w:eastAsia="zh-CN" w:bidi="ar-SA"/>
        </w:rPr>
        <w:t>投资建设的</w:t>
      </w:r>
      <w:r>
        <w:rPr>
          <w:rFonts w:hint="eastAsia" w:eastAsia="仿宋_GB2312" w:cs="Times New Roman"/>
          <w:b w:val="0"/>
          <w:bCs w:val="0"/>
          <w:snapToGrid/>
          <w:color w:val="auto"/>
          <w:spacing w:val="0"/>
          <w:w w:val="100"/>
          <w:kern w:val="2"/>
          <w:sz w:val="32"/>
          <w:szCs w:val="32"/>
          <w:highlight w:val="none"/>
          <w:u w:val="none"/>
          <w:lang w:val="en-US" w:eastAsia="zh-CN" w:bidi="ar-SA"/>
        </w:rPr>
        <w:t>公共穿孔中心</w:t>
      </w:r>
      <w:r>
        <w:rPr>
          <w:rFonts w:hint="eastAsia" w:cs="Times New Roman"/>
          <w:b w:val="0"/>
          <w:bCs w:val="0"/>
          <w:snapToGrid/>
          <w:color w:val="auto"/>
          <w:spacing w:val="0"/>
          <w:w w:val="100"/>
          <w:kern w:val="2"/>
          <w:sz w:val="32"/>
          <w:szCs w:val="32"/>
          <w:highlight w:val="none"/>
          <w:u w:val="none"/>
          <w:lang w:val="en-US" w:eastAsia="zh-CN" w:bidi="ar-SA"/>
        </w:rPr>
        <w:t>、</w:t>
      </w:r>
      <w:r>
        <w:rPr>
          <w:rFonts w:hint="eastAsia" w:eastAsia="仿宋_GB2312" w:cs="Times New Roman"/>
          <w:b w:val="0"/>
          <w:bCs w:val="0"/>
          <w:snapToGrid/>
          <w:color w:val="auto"/>
          <w:spacing w:val="0"/>
          <w:w w:val="100"/>
          <w:kern w:val="2"/>
          <w:sz w:val="32"/>
          <w:szCs w:val="32"/>
          <w:highlight w:val="none"/>
          <w:u w:val="none"/>
          <w:lang w:val="en-US" w:eastAsia="zh-CN" w:bidi="ar-SA"/>
        </w:rPr>
        <w:t>公共酸洗中心</w:t>
      </w:r>
      <w:r>
        <w:rPr>
          <w:rFonts w:hint="eastAsia" w:cs="Times New Roman"/>
          <w:b w:val="0"/>
          <w:bCs w:val="0"/>
          <w:snapToGrid/>
          <w:color w:val="auto"/>
          <w:spacing w:val="0"/>
          <w:w w:val="100"/>
          <w:kern w:val="2"/>
          <w:sz w:val="32"/>
          <w:szCs w:val="32"/>
          <w:highlight w:val="none"/>
          <w:u w:val="none"/>
          <w:lang w:val="en-US" w:eastAsia="zh-CN" w:bidi="ar-SA"/>
        </w:rPr>
        <w:t>等项目，</w:t>
      </w:r>
      <w:r>
        <w:rPr>
          <w:rFonts w:hint="eastAsia" w:eastAsia="仿宋_GB2312" w:cs="Times New Roman"/>
          <w:b w:val="0"/>
          <w:bCs w:val="0"/>
          <w:snapToGrid/>
          <w:color w:val="auto"/>
          <w:spacing w:val="0"/>
          <w:w w:val="100"/>
          <w:kern w:val="2"/>
          <w:sz w:val="32"/>
          <w:szCs w:val="32"/>
          <w:highlight w:val="none"/>
          <w:u w:val="none"/>
          <w:lang w:val="en-US" w:eastAsia="zh-CN" w:bidi="ar-SA"/>
        </w:rPr>
        <w:t>给予</w:t>
      </w:r>
      <w:r>
        <w:rPr>
          <w:rFonts w:hint="eastAsia" w:cs="Times New Roman"/>
          <w:b w:val="0"/>
          <w:bCs w:val="0"/>
          <w:strike w:val="0"/>
          <w:snapToGrid/>
          <w:color w:val="auto"/>
          <w:spacing w:val="0"/>
          <w:w w:val="100"/>
          <w:kern w:val="2"/>
          <w:sz w:val="32"/>
          <w:szCs w:val="32"/>
          <w:highlight w:val="none"/>
          <w:u w:val="none"/>
          <w:lang w:val="en-US" w:eastAsia="zh-CN" w:bidi="ar-SA"/>
        </w:rPr>
        <w:t>购置新设备</w:t>
      </w:r>
      <w:r>
        <w:rPr>
          <w:rFonts w:hint="eastAsia" w:eastAsia="仿宋_GB2312" w:cs="Times New Roman"/>
          <w:b w:val="0"/>
          <w:bCs w:val="0"/>
          <w:snapToGrid/>
          <w:color w:val="auto"/>
          <w:spacing w:val="0"/>
          <w:w w:val="100"/>
          <w:kern w:val="2"/>
          <w:sz w:val="32"/>
          <w:szCs w:val="32"/>
          <w:highlight w:val="none"/>
          <w:u w:val="none"/>
          <w:lang w:val="en-US" w:eastAsia="zh-CN" w:bidi="ar-SA"/>
        </w:rPr>
        <w:t>审定投资额的15%补助，</w:t>
      </w:r>
      <w:r>
        <w:rPr>
          <w:rFonts w:hint="eastAsia" w:ascii="仿宋_GB2312" w:hAnsi="仿宋_GB2312" w:eastAsia="仿宋_GB2312" w:cs="仿宋_GB2312"/>
          <w:b w:val="0"/>
          <w:bCs w:val="0"/>
          <w:snapToGrid/>
          <w:color w:val="auto"/>
          <w:spacing w:val="0"/>
          <w:w w:val="100"/>
          <w:kern w:val="2"/>
          <w:sz w:val="32"/>
          <w:szCs w:val="32"/>
          <w:highlight w:val="none"/>
          <w:u w:val="none"/>
          <w:lang w:val="en-US" w:eastAsia="zh-CN" w:bidi="ar-SA"/>
        </w:rPr>
        <w:t>单个项目补助金额最高不超过1000万</w:t>
      </w:r>
      <w:r>
        <w:rPr>
          <w:rFonts w:hint="eastAsia" w:ascii="仿宋_GB2312" w:hAnsi="仿宋_GB2312" w:cs="仿宋_GB2312"/>
          <w:b w:val="0"/>
          <w:bCs w:val="0"/>
          <w:snapToGrid/>
          <w:color w:val="auto"/>
          <w:spacing w:val="0"/>
          <w:w w:val="100"/>
          <w:kern w:val="2"/>
          <w:sz w:val="32"/>
          <w:szCs w:val="32"/>
          <w:highlight w:val="none"/>
          <w:u w:val="none"/>
          <w:lang w:val="en-US" w:eastAsia="zh-CN" w:bidi="ar-SA"/>
        </w:rPr>
        <w:t>元</w:t>
      </w:r>
      <w:r>
        <w:rPr>
          <w:rFonts w:hint="eastAsia" w:ascii="仿宋_GB2312" w:hAnsi="仿宋_GB2312" w:eastAsia="仿宋_GB2312" w:cs="仿宋_GB2312"/>
          <w:b w:val="0"/>
          <w:bCs w:val="0"/>
          <w:snapToGrid/>
          <w:color w:val="auto"/>
          <w:spacing w:val="0"/>
          <w:w w:val="100"/>
          <w:kern w:val="2"/>
          <w:sz w:val="32"/>
          <w:szCs w:val="32"/>
          <w:highlight w:val="none"/>
          <w:u w:val="none"/>
          <w:lang w:val="en-US" w:eastAsia="zh-CN" w:bidi="ar-SA"/>
        </w:rPr>
        <w:t>。</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32" w:firstLineChars="200"/>
        <w:jc w:val="both"/>
        <w:textAlignment w:val="auto"/>
        <w:outlineLvl w:val="9"/>
        <w:rPr>
          <w:rFonts w:hint="default" w:eastAsia="仿宋_GB2312" w:cs="Times New Roman"/>
          <w:b w:val="0"/>
          <w:bCs w:val="0"/>
          <w:snapToGrid/>
          <w:color w:val="auto"/>
          <w:spacing w:val="0"/>
          <w:w w:val="100"/>
          <w:kern w:val="2"/>
          <w:sz w:val="32"/>
          <w:szCs w:val="32"/>
          <w:highlight w:val="none"/>
          <w:u w:val="none"/>
          <w:lang w:val="en-US" w:eastAsia="zh-CN" w:bidi="ar-SA"/>
        </w:rPr>
      </w:pPr>
      <w:r>
        <w:rPr>
          <w:rFonts w:hint="eastAsia" w:eastAsia="楷体_GB2312" w:cs="Times New Roman"/>
          <w:b w:val="0"/>
          <w:bCs w:val="0"/>
          <w:snapToGrid w:val="0"/>
          <w:color w:val="auto"/>
          <w:spacing w:val="0"/>
          <w:w w:val="100"/>
          <w:kern w:val="0"/>
          <w:sz w:val="32"/>
          <w:szCs w:val="32"/>
          <w:highlight w:val="none"/>
          <w:u w:val="none"/>
          <w:lang w:val="en-US" w:eastAsia="zh-CN" w:bidi="ar-SA"/>
        </w:rPr>
        <w:t>3.支持设备智能化改造。</w:t>
      </w:r>
      <w:r>
        <w:rPr>
          <w:rFonts w:hint="eastAsia" w:ascii="仿宋_GB2312" w:hAnsi="仿宋_GB2312" w:eastAsia="仿宋_GB2312" w:cs="仿宋_GB2312"/>
          <w:b w:val="0"/>
          <w:bCs w:val="0"/>
          <w:snapToGrid/>
          <w:color w:val="auto"/>
          <w:spacing w:val="0"/>
          <w:w w:val="100"/>
          <w:kern w:val="2"/>
          <w:sz w:val="32"/>
          <w:szCs w:val="32"/>
          <w:highlight w:val="none"/>
          <w:u w:val="none"/>
          <w:lang w:val="en-US" w:eastAsia="zh-CN" w:bidi="ar-SA"/>
        </w:rPr>
        <w:t>鼓励</w:t>
      </w:r>
      <w:r>
        <w:rPr>
          <w:rFonts w:hint="eastAsia" w:ascii="仿宋_GB2312" w:hAnsi="仿宋_GB2312" w:eastAsia="仿宋_GB2312" w:cs="仿宋_GB2312"/>
          <w:b w:val="0"/>
          <w:bCs w:val="0"/>
          <w:color w:val="auto"/>
          <w:sz w:val="32"/>
          <w:szCs w:val="32"/>
          <w:highlight w:val="none"/>
          <w:lang w:val="en-US" w:eastAsia="zh-CN"/>
        </w:rPr>
        <w:t>企业达产验收后开展智能化改造，项目通过专家组验收的予以奖励。对项目购置新设备审定投资额在50万元以上500万元以内的，按审定投资额的12%给予奖励；对项目购置新设备审定投资额在500万元以上且纳入统计项目库的，按审定投资额的15%给予奖励，单个</w:t>
      </w:r>
      <w:r>
        <w:rPr>
          <w:rFonts w:hint="eastAsia" w:ascii="仿宋_GB2312" w:hAnsi="仿宋_GB2312" w:eastAsia="仿宋_GB2312" w:cs="仿宋_GB2312"/>
          <w:b w:val="0"/>
          <w:bCs w:val="0"/>
          <w:strike w:val="0"/>
          <w:color w:val="auto"/>
          <w:sz w:val="32"/>
          <w:szCs w:val="32"/>
          <w:highlight w:val="none"/>
          <w:lang w:val="en-US" w:eastAsia="zh-CN"/>
        </w:rPr>
        <w:t>项目</w:t>
      </w:r>
      <w:r>
        <w:rPr>
          <w:rFonts w:hint="eastAsia" w:ascii="仿宋_GB2312" w:hAnsi="仿宋_GB2312" w:eastAsia="仿宋_GB2312" w:cs="仿宋_GB2312"/>
          <w:b w:val="0"/>
          <w:bCs w:val="0"/>
          <w:color w:val="auto"/>
          <w:sz w:val="32"/>
          <w:szCs w:val="32"/>
          <w:highlight w:val="none"/>
          <w:lang w:val="en-US" w:eastAsia="zh-CN"/>
        </w:rPr>
        <w:t>奖励金额最高不超过600万元</w:t>
      </w:r>
      <w:r>
        <w:rPr>
          <w:rFonts w:hint="eastAsia" w:ascii="仿宋_GB2312" w:hAnsi="仿宋_GB2312" w:eastAsia="仿宋_GB2312" w:cs="仿宋_GB2312"/>
          <w:b w:val="0"/>
          <w:bCs w:val="0"/>
          <w:snapToGrid w:val="0"/>
          <w:color w:val="auto"/>
          <w:spacing w:val="0"/>
          <w:w w:val="100"/>
          <w:kern w:val="0"/>
          <w:sz w:val="32"/>
          <w:szCs w:val="32"/>
          <w:highlight w:val="none"/>
          <w:u w:val="none"/>
          <w:lang w:val="en-US" w:eastAsia="zh-CN"/>
        </w:rPr>
        <w:t>。</w:t>
      </w:r>
    </w:p>
    <w:p>
      <w:pPr>
        <w:keepNext w:val="0"/>
        <w:keepLines w:val="0"/>
        <w:pageBreakBefore w:val="0"/>
        <w:widowControl/>
        <w:numPr>
          <w:ilvl w:val="-1"/>
          <w:numId w:val="0"/>
        </w:numPr>
        <w:suppressLineNumbers w:val="0"/>
        <w:kinsoku/>
        <w:wordWrap/>
        <w:overflowPunct/>
        <w:topLinePunct w:val="0"/>
        <w:autoSpaceDE/>
        <w:autoSpaceDN/>
        <w:bidi w:val="0"/>
        <w:adjustRightInd/>
        <w:snapToGrid/>
        <w:spacing w:beforeAutospacing="0" w:afterAutospacing="0" w:line="560" w:lineRule="exact"/>
        <w:ind w:left="0" w:leftChars="0" w:right="0" w:rightChars="0" w:firstLine="632" w:firstLineChars="200"/>
        <w:jc w:val="left"/>
        <w:textAlignment w:val="auto"/>
        <w:outlineLvl w:val="9"/>
        <w:rPr>
          <w:rFonts w:hint="eastAsia" w:ascii="仿宋_GB2312" w:hAnsi="仿宋_GB2312" w:eastAsia="仿宋_GB2312" w:cs="仿宋_GB2312"/>
          <w:b w:val="0"/>
          <w:bCs w:val="0"/>
          <w:snapToGrid/>
          <w:color w:val="auto"/>
          <w:spacing w:val="0"/>
          <w:w w:val="100"/>
          <w:kern w:val="2"/>
          <w:sz w:val="32"/>
          <w:szCs w:val="32"/>
          <w:highlight w:val="none"/>
          <w:u w:val="none"/>
          <w:lang w:val="en-US" w:eastAsia="zh-CN" w:bidi="ar-SA"/>
        </w:rPr>
      </w:pPr>
      <w:r>
        <w:rPr>
          <w:rFonts w:hint="eastAsia" w:eastAsia="楷体_GB2312" w:cs="Times New Roman"/>
          <w:b w:val="0"/>
          <w:bCs w:val="0"/>
          <w:snapToGrid w:val="0"/>
          <w:color w:val="auto"/>
          <w:spacing w:val="0"/>
          <w:w w:val="100"/>
          <w:kern w:val="0"/>
          <w:sz w:val="32"/>
          <w:szCs w:val="32"/>
          <w:highlight w:val="none"/>
          <w:u w:val="none"/>
          <w:lang w:val="en-US" w:eastAsia="zh-CN" w:bidi="ar-SA"/>
        </w:rPr>
        <w:t>4.</w:t>
      </w:r>
      <w:r>
        <w:rPr>
          <w:rFonts w:hint="eastAsia" w:ascii="Times New Roman" w:hAnsi="Times New Roman" w:eastAsia="楷体_GB2312" w:cs="Times New Roman"/>
          <w:b w:val="0"/>
          <w:bCs w:val="0"/>
          <w:snapToGrid w:val="0"/>
          <w:color w:val="auto"/>
          <w:spacing w:val="0"/>
          <w:w w:val="100"/>
          <w:kern w:val="0"/>
          <w:sz w:val="32"/>
          <w:szCs w:val="32"/>
          <w:highlight w:val="none"/>
          <w:u w:val="none"/>
          <w:lang w:val="en-US" w:eastAsia="zh-CN" w:bidi="ar-SA"/>
        </w:rPr>
        <w:t>鼓励</w:t>
      </w:r>
      <w:r>
        <w:rPr>
          <w:rFonts w:hint="eastAsia" w:eastAsia="楷体_GB2312" w:cs="Times New Roman"/>
          <w:b w:val="0"/>
          <w:bCs w:val="0"/>
          <w:snapToGrid w:val="0"/>
          <w:color w:val="auto"/>
          <w:spacing w:val="0"/>
          <w:w w:val="100"/>
          <w:kern w:val="0"/>
          <w:sz w:val="32"/>
          <w:szCs w:val="32"/>
          <w:highlight w:val="none"/>
          <w:u w:val="none"/>
          <w:lang w:val="en-US" w:eastAsia="zh-CN" w:bidi="ar-SA"/>
        </w:rPr>
        <w:t>企业技术创新。</w:t>
      </w:r>
      <w:r>
        <w:rPr>
          <w:rFonts w:hint="eastAsia" w:ascii="仿宋_GB2312" w:hAnsi="仿宋_GB2312" w:eastAsia="仿宋_GB2312" w:cs="仿宋_GB2312"/>
          <w:b w:val="0"/>
          <w:bCs w:val="0"/>
          <w:snapToGrid/>
          <w:color w:val="auto"/>
          <w:spacing w:val="0"/>
          <w:w w:val="100"/>
          <w:kern w:val="2"/>
          <w:sz w:val="32"/>
          <w:szCs w:val="32"/>
          <w:highlight w:val="none"/>
          <w:u w:val="none"/>
          <w:lang w:val="en-US" w:eastAsia="zh-CN" w:bidi="ar-SA"/>
        </w:rPr>
        <w:t>支持企业与科研院所、高等院校、设备厂家等开展产学研协同创新，</w:t>
      </w:r>
      <w:r>
        <w:rPr>
          <w:rFonts w:hint="eastAsia" w:cs="Times New Roman"/>
          <w:b w:val="0"/>
          <w:bCs w:val="0"/>
          <w:strike w:val="0"/>
          <w:dstrike w:val="0"/>
          <w:color w:val="auto"/>
          <w:kern w:val="2"/>
          <w:sz w:val="32"/>
          <w:szCs w:val="32"/>
          <w:highlight w:val="none"/>
          <w:lang w:val="en-US" w:eastAsia="zh-CN" w:bidi="ar-SA"/>
        </w:rPr>
        <w:t>经公开征集并通过遴选确定的项目，在期限内完成并通过验收的，</w:t>
      </w:r>
      <w:r>
        <w:rPr>
          <w:rFonts w:hint="eastAsia" w:ascii="仿宋_GB2312" w:hAnsi="仿宋_GB2312" w:eastAsia="仿宋_GB2312" w:cs="仿宋_GB2312"/>
          <w:b w:val="0"/>
          <w:bCs w:val="0"/>
          <w:snapToGrid/>
          <w:color w:val="auto"/>
          <w:spacing w:val="0"/>
          <w:w w:val="100"/>
          <w:kern w:val="2"/>
          <w:sz w:val="32"/>
          <w:szCs w:val="32"/>
          <w:highlight w:val="none"/>
          <w:u w:val="none"/>
          <w:lang w:val="en-US" w:eastAsia="zh-CN" w:bidi="ar-SA"/>
        </w:rPr>
        <w:t>给予项目实际审定投资额20%的补助，单个项目最高不超过50万元；</w:t>
      </w:r>
      <w:r>
        <w:rPr>
          <w:rFonts w:hint="eastAsia" w:ascii="仿宋_GB2312" w:hAnsi="仿宋_GB2312" w:eastAsia="仿宋_GB2312" w:cs="仿宋_GB2312"/>
          <w:b w:val="0"/>
          <w:bCs w:val="0"/>
          <w:strike w:val="0"/>
          <w:dstrike w:val="0"/>
          <w:snapToGrid/>
          <w:color w:val="auto"/>
          <w:spacing w:val="0"/>
          <w:w w:val="100"/>
          <w:kern w:val="2"/>
          <w:sz w:val="32"/>
          <w:szCs w:val="32"/>
          <w:highlight w:val="none"/>
          <w:u w:val="none"/>
          <w:lang w:val="en-US" w:eastAsia="zh-CN" w:bidi="ar-SA"/>
        </w:rPr>
        <w:t>企业提出申请</w:t>
      </w:r>
      <w:r>
        <w:rPr>
          <w:rFonts w:hint="default" w:ascii="仿宋_GB2312" w:hAnsi="仿宋_GB2312" w:cs="仿宋_GB2312"/>
          <w:b w:val="0"/>
          <w:bCs w:val="0"/>
          <w:strike w:val="0"/>
          <w:dstrike w:val="0"/>
          <w:snapToGrid/>
          <w:color w:val="auto"/>
          <w:spacing w:val="0"/>
          <w:w w:val="100"/>
          <w:kern w:val="2"/>
          <w:sz w:val="32"/>
          <w:szCs w:val="32"/>
          <w:highlight w:val="none"/>
          <w:u w:val="none"/>
          <w:lang w:eastAsia="zh-CN" w:bidi="ar-SA"/>
        </w:rPr>
        <w:t>并经</w:t>
      </w:r>
      <w:r>
        <w:rPr>
          <w:rFonts w:hint="eastAsia" w:ascii="仿宋_GB2312" w:hAnsi="仿宋_GB2312" w:eastAsia="仿宋_GB2312" w:cs="仿宋_GB2312"/>
          <w:b w:val="0"/>
          <w:bCs w:val="0"/>
          <w:strike w:val="0"/>
          <w:dstrike w:val="0"/>
          <w:snapToGrid/>
          <w:color w:val="auto"/>
          <w:spacing w:val="0"/>
          <w:w w:val="100"/>
          <w:kern w:val="2"/>
          <w:sz w:val="32"/>
          <w:szCs w:val="32"/>
          <w:highlight w:val="none"/>
          <w:u w:val="none"/>
          <w:lang w:val="en-US" w:eastAsia="zh-CN" w:bidi="ar-SA"/>
        </w:rPr>
        <w:t>专家组评审认定成效显著并在行业内示范推广应用的</w:t>
      </w:r>
      <w:r>
        <w:rPr>
          <w:rFonts w:hint="eastAsia" w:ascii="仿宋_GB2312" w:hAnsi="仿宋_GB2312" w:cs="仿宋_GB2312"/>
          <w:b w:val="0"/>
          <w:bCs w:val="0"/>
          <w:strike w:val="0"/>
          <w:dstrike w:val="0"/>
          <w:snapToGrid/>
          <w:color w:val="auto"/>
          <w:spacing w:val="0"/>
          <w:w w:val="100"/>
          <w:kern w:val="2"/>
          <w:sz w:val="32"/>
          <w:szCs w:val="32"/>
          <w:highlight w:val="none"/>
          <w:u w:val="none"/>
          <w:lang w:val="en-US" w:eastAsia="zh-CN" w:bidi="ar-SA"/>
        </w:rPr>
        <w:t>（10家以上）</w:t>
      </w:r>
      <w:r>
        <w:rPr>
          <w:rFonts w:hint="eastAsia" w:ascii="仿宋_GB2312" w:hAnsi="仿宋_GB2312" w:eastAsia="仿宋_GB2312" w:cs="仿宋_GB2312"/>
          <w:b w:val="0"/>
          <w:bCs w:val="0"/>
          <w:strike w:val="0"/>
          <w:dstrike w:val="0"/>
          <w:snapToGrid/>
          <w:color w:val="auto"/>
          <w:spacing w:val="0"/>
          <w:w w:val="100"/>
          <w:kern w:val="2"/>
          <w:sz w:val="32"/>
          <w:szCs w:val="32"/>
          <w:highlight w:val="none"/>
          <w:u w:val="none"/>
          <w:lang w:val="en-US" w:eastAsia="zh-CN" w:bidi="ar-SA"/>
        </w:rPr>
        <w:t>，</w:t>
      </w:r>
      <w:r>
        <w:rPr>
          <w:rFonts w:hint="eastAsia" w:ascii="仿宋_GB2312" w:hAnsi="仿宋_GB2312" w:eastAsia="仿宋_GB2312" w:cs="仿宋_GB2312"/>
          <w:b w:val="0"/>
          <w:bCs w:val="0"/>
          <w:snapToGrid/>
          <w:color w:val="auto"/>
          <w:spacing w:val="0"/>
          <w:w w:val="100"/>
          <w:kern w:val="2"/>
          <w:sz w:val="32"/>
          <w:szCs w:val="32"/>
          <w:highlight w:val="none"/>
          <w:u w:val="none"/>
          <w:lang w:val="en-US" w:eastAsia="zh-CN" w:bidi="ar-SA"/>
        </w:rPr>
        <w:t>再给予项目实际审定投资额30%的补助，单个项目补助金额最高不超过150万元。</w:t>
      </w:r>
    </w:p>
    <w:p>
      <w:pPr>
        <w:keepNext w:val="0"/>
        <w:keepLines w:val="0"/>
        <w:pageBreakBefore w:val="0"/>
        <w:widowControl/>
        <w:numPr>
          <w:ilvl w:val="-1"/>
          <w:numId w:val="0"/>
        </w:numPr>
        <w:suppressLineNumbers w:val="0"/>
        <w:kinsoku/>
        <w:wordWrap/>
        <w:overflowPunct/>
        <w:topLinePunct w:val="0"/>
        <w:autoSpaceDE/>
        <w:autoSpaceDN/>
        <w:bidi w:val="0"/>
        <w:adjustRightInd/>
        <w:snapToGrid/>
        <w:spacing w:beforeAutospacing="0" w:afterAutospacing="0" w:line="560" w:lineRule="exact"/>
        <w:ind w:left="0" w:leftChars="0" w:right="0" w:rightChars="0" w:firstLine="632" w:firstLineChars="200"/>
        <w:jc w:val="left"/>
        <w:textAlignment w:val="auto"/>
        <w:outlineLvl w:val="9"/>
        <w:rPr>
          <w:rFonts w:hint="eastAsia" w:ascii="仿宋_GB2312" w:hAnsi="仿宋_GB2312" w:eastAsia="仿宋_GB2312" w:cs="仿宋_GB2312"/>
          <w:b w:val="0"/>
          <w:bCs w:val="0"/>
          <w:snapToGrid/>
          <w:color w:val="auto"/>
          <w:spacing w:val="0"/>
          <w:w w:val="100"/>
          <w:kern w:val="2"/>
          <w:sz w:val="32"/>
          <w:szCs w:val="32"/>
          <w:highlight w:val="none"/>
          <w:u w:val="none"/>
          <w:lang w:val="en-US" w:eastAsia="zh-CN" w:bidi="ar-SA"/>
        </w:rPr>
      </w:pPr>
      <w:r>
        <w:rPr>
          <w:rFonts w:hint="eastAsia" w:eastAsia="楷体_GB2312" w:cs="Times New Roman"/>
          <w:b w:val="0"/>
          <w:bCs w:val="0"/>
          <w:snapToGrid w:val="0"/>
          <w:color w:val="auto"/>
          <w:spacing w:val="0"/>
          <w:w w:val="100"/>
          <w:kern w:val="0"/>
          <w:sz w:val="32"/>
          <w:szCs w:val="32"/>
          <w:highlight w:val="none"/>
          <w:u w:val="none"/>
          <w:lang w:val="en-US" w:eastAsia="zh-CN" w:bidi="ar-SA"/>
        </w:rPr>
        <w:t>5.支持数字化改造。</w:t>
      </w:r>
      <w:r>
        <w:rPr>
          <w:rFonts w:hint="eastAsia" w:ascii="仿宋_GB2312" w:hAnsi="仿宋_GB2312" w:eastAsia="仿宋_GB2312" w:cs="仿宋_GB2312"/>
          <w:b w:val="0"/>
          <w:bCs w:val="0"/>
          <w:snapToGrid/>
          <w:color w:val="auto"/>
          <w:spacing w:val="0"/>
          <w:w w:val="100"/>
          <w:kern w:val="2"/>
          <w:sz w:val="32"/>
          <w:szCs w:val="32"/>
          <w:highlight w:val="none"/>
          <w:u w:val="none"/>
          <w:lang w:val="en-US" w:eastAsia="zh-CN" w:bidi="ar-SA"/>
        </w:rPr>
        <w:t>对规模以上企业在生产制造环节新引入ERP、MES</w:t>
      </w:r>
      <w:r>
        <w:rPr>
          <w:rFonts w:hint="eastAsia" w:ascii="仿宋_GB2312" w:hAnsi="仿宋_GB2312" w:cs="仿宋_GB2312"/>
          <w:b w:val="0"/>
          <w:bCs w:val="0"/>
          <w:snapToGrid/>
          <w:color w:val="auto"/>
          <w:spacing w:val="0"/>
          <w:w w:val="100"/>
          <w:kern w:val="2"/>
          <w:sz w:val="32"/>
          <w:szCs w:val="32"/>
          <w:highlight w:val="none"/>
          <w:u w:val="none"/>
          <w:lang w:val="en-US" w:eastAsia="zh-CN" w:bidi="ar-SA"/>
        </w:rPr>
        <w:t>、SFC等</w:t>
      </w:r>
      <w:r>
        <w:rPr>
          <w:rFonts w:hint="eastAsia" w:ascii="仿宋_GB2312" w:hAnsi="仿宋_GB2312" w:eastAsia="仿宋_GB2312" w:cs="仿宋_GB2312"/>
          <w:b w:val="0"/>
          <w:bCs w:val="0"/>
          <w:snapToGrid/>
          <w:color w:val="auto"/>
          <w:spacing w:val="0"/>
          <w:w w:val="100"/>
          <w:kern w:val="2"/>
          <w:sz w:val="32"/>
          <w:szCs w:val="32"/>
          <w:highlight w:val="none"/>
          <w:u w:val="none"/>
          <w:lang w:val="en-US" w:eastAsia="zh-CN" w:bidi="ar-SA"/>
        </w:rPr>
        <w:t>系统，设计环节引入PLM等专业信息化平台，给予信息化项目购置的软件（不含服务类费用支出）和新设备审定投资额的</w:t>
      </w:r>
      <w:r>
        <w:rPr>
          <w:rFonts w:hint="eastAsia" w:ascii="仿宋_GB2312" w:hAnsi="仿宋_GB2312" w:cs="仿宋_GB2312"/>
          <w:b w:val="0"/>
          <w:bCs w:val="0"/>
          <w:snapToGrid/>
          <w:color w:val="auto"/>
          <w:spacing w:val="0"/>
          <w:w w:val="100"/>
          <w:kern w:val="2"/>
          <w:sz w:val="32"/>
          <w:szCs w:val="32"/>
          <w:highlight w:val="none"/>
          <w:u w:val="none"/>
          <w:lang w:val="en-US" w:eastAsia="zh-CN" w:bidi="ar-SA"/>
        </w:rPr>
        <w:t>3</w:t>
      </w:r>
      <w:r>
        <w:rPr>
          <w:rFonts w:hint="eastAsia" w:ascii="仿宋_GB2312" w:hAnsi="仿宋_GB2312" w:eastAsia="仿宋_GB2312" w:cs="仿宋_GB2312"/>
          <w:b w:val="0"/>
          <w:bCs w:val="0"/>
          <w:snapToGrid/>
          <w:color w:val="auto"/>
          <w:spacing w:val="0"/>
          <w:w w:val="100"/>
          <w:kern w:val="2"/>
          <w:sz w:val="32"/>
          <w:szCs w:val="32"/>
          <w:highlight w:val="none"/>
          <w:u w:val="none"/>
          <w:lang w:val="en-US" w:eastAsia="zh-CN" w:bidi="ar-SA"/>
        </w:rPr>
        <w:t>0%奖励（规下企业按照审定投资额的</w:t>
      </w:r>
      <w:r>
        <w:rPr>
          <w:rFonts w:hint="eastAsia" w:ascii="仿宋_GB2312" w:hAnsi="仿宋_GB2312" w:cs="仿宋_GB2312"/>
          <w:b w:val="0"/>
          <w:bCs w:val="0"/>
          <w:snapToGrid/>
          <w:color w:val="auto"/>
          <w:spacing w:val="0"/>
          <w:w w:val="100"/>
          <w:kern w:val="2"/>
          <w:sz w:val="32"/>
          <w:szCs w:val="32"/>
          <w:highlight w:val="none"/>
          <w:u w:val="none"/>
          <w:lang w:val="en-US" w:eastAsia="zh-CN" w:bidi="ar-SA"/>
        </w:rPr>
        <w:t>20</w:t>
      </w:r>
      <w:r>
        <w:rPr>
          <w:rFonts w:hint="eastAsia" w:ascii="仿宋_GB2312" w:hAnsi="仿宋_GB2312" w:eastAsia="仿宋_GB2312" w:cs="仿宋_GB2312"/>
          <w:b w:val="0"/>
          <w:bCs w:val="0"/>
          <w:snapToGrid/>
          <w:color w:val="auto"/>
          <w:spacing w:val="0"/>
          <w:w w:val="100"/>
          <w:kern w:val="2"/>
          <w:sz w:val="32"/>
          <w:szCs w:val="32"/>
          <w:highlight w:val="none"/>
          <w:u w:val="none"/>
          <w:lang w:val="en-US" w:eastAsia="zh-CN" w:bidi="ar-SA"/>
        </w:rPr>
        <w:t>%奖励），单家企业奖励金额最高不超过100万元。</w:t>
      </w:r>
    </w:p>
    <w:p>
      <w:pPr>
        <w:keepNext w:val="0"/>
        <w:keepLines w:val="0"/>
        <w:pageBreakBefore w:val="0"/>
        <w:widowControl w:val="0"/>
        <w:numPr>
          <w:ilvl w:val="-1"/>
          <w:numId w:val="0"/>
        </w:numPr>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snapToGrid/>
          <w:color w:val="auto"/>
          <w:spacing w:val="0"/>
          <w:w w:val="100"/>
          <w:kern w:val="2"/>
          <w:sz w:val="32"/>
          <w:szCs w:val="32"/>
          <w:highlight w:val="none"/>
          <w:u w:val="none"/>
          <w:lang w:val="en-US" w:eastAsia="zh-CN" w:bidi="ar-SA"/>
        </w:rPr>
      </w:pPr>
      <w:r>
        <w:rPr>
          <w:rFonts w:hint="eastAsia" w:ascii="仿宋_GB2312" w:hAnsi="仿宋_GB2312" w:eastAsia="仿宋_GB2312" w:cs="仿宋_GB2312"/>
          <w:b w:val="0"/>
          <w:bCs w:val="0"/>
          <w:snapToGrid/>
          <w:color w:val="auto"/>
          <w:spacing w:val="0"/>
          <w:w w:val="100"/>
          <w:kern w:val="2"/>
          <w:sz w:val="32"/>
          <w:szCs w:val="32"/>
          <w:highlight w:val="none"/>
          <w:u w:val="none"/>
          <w:lang w:val="en-US" w:eastAsia="zh-CN" w:bidi="ar-SA"/>
        </w:rPr>
        <w:t>鼓励企业针对制造设备利用工业互联网盒子进行改造升级并接入不锈钢行业工业互联网平台，每台设备给予1000元的补助，单家企业补助金额最高不超过30万元。</w:t>
      </w:r>
    </w:p>
    <w:p>
      <w:pPr>
        <w:keepNext w:val="0"/>
        <w:keepLines w:val="0"/>
        <w:pageBreakBefore w:val="0"/>
        <w:widowControl/>
        <w:numPr>
          <w:ilvl w:val="-1"/>
          <w:numId w:val="0"/>
        </w:numPr>
        <w:suppressLineNumbers w:val="0"/>
        <w:kinsoku/>
        <w:wordWrap/>
        <w:overflowPunct/>
        <w:topLinePunct w:val="0"/>
        <w:autoSpaceDE/>
        <w:autoSpaceDN/>
        <w:bidi w:val="0"/>
        <w:adjustRightInd/>
        <w:snapToGrid/>
        <w:spacing w:beforeAutospacing="0" w:afterAutospacing="0" w:line="560" w:lineRule="exact"/>
        <w:ind w:left="0" w:leftChars="0" w:right="0" w:rightChars="0" w:firstLine="632" w:firstLineChars="200"/>
        <w:jc w:val="left"/>
        <w:textAlignment w:val="auto"/>
        <w:outlineLvl w:val="9"/>
        <w:rPr>
          <w:rFonts w:hint="default" w:eastAsia="仿宋_GB2312" w:cs="Times New Roman"/>
          <w:b w:val="0"/>
          <w:bCs w:val="0"/>
          <w:snapToGrid/>
          <w:color w:val="auto"/>
          <w:spacing w:val="0"/>
          <w:w w:val="100"/>
          <w:kern w:val="2"/>
          <w:sz w:val="32"/>
          <w:szCs w:val="32"/>
          <w:highlight w:val="none"/>
          <w:u w:val="none"/>
          <w:lang w:val="en-US" w:eastAsia="zh-CN" w:bidi="ar-SA"/>
        </w:rPr>
      </w:pPr>
      <w:r>
        <w:rPr>
          <w:rFonts w:hint="eastAsia" w:eastAsia="楷体_GB2312" w:cs="Times New Roman"/>
          <w:b w:val="0"/>
          <w:bCs w:val="0"/>
          <w:snapToGrid w:val="0"/>
          <w:color w:val="auto"/>
          <w:spacing w:val="0"/>
          <w:w w:val="100"/>
          <w:kern w:val="0"/>
          <w:sz w:val="32"/>
          <w:szCs w:val="32"/>
          <w:highlight w:val="none"/>
          <w:u w:val="none"/>
          <w:lang w:val="en-US" w:eastAsia="zh-CN" w:bidi="ar-SA"/>
        </w:rPr>
        <w:t>6.支持环保安全设施改造。</w:t>
      </w:r>
      <w:r>
        <w:rPr>
          <w:rFonts w:hint="eastAsia" w:ascii="仿宋_GB2312" w:hAnsi="仿宋_GB2312" w:eastAsia="仿宋_GB2312" w:cs="仿宋_GB2312"/>
          <w:b w:val="0"/>
          <w:bCs w:val="0"/>
          <w:i w:val="0"/>
          <w:caps w:val="0"/>
          <w:color w:val="auto"/>
          <w:spacing w:val="0"/>
          <w:sz w:val="32"/>
          <w:szCs w:val="32"/>
          <w:shd w:val="clear" w:fill="FFFFFF"/>
        </w:rPr>
        <w:t>鼓励企业</w:t>
      </w:r>
      <w:r>
        <w:rPr>
          <w:rFonts w:hint="eastAsia" w:cs="Times New Roman"/>
          <w:b w:val="0"/>
          <w:bCs w:val="0"/>
          <w:strike w:val="0"/>
          <w:dstrike w:val="0"/>
          <w:color w:val="auto"/>
          <w:kern w:val="2"/>
          <w:sz w:val="32"/>
          <w:szCs w:val="32"/>
          <w:highlight w:val="none"/>
          <w:lang w:val="en-US" w:eastAsia="zh-CN" w:bidi="ar-SA"/>
        </w:rPr>
        <w:t>积极</w:t>
      </w:r>
      <w:r>
        <w:rPr>
          <w:rFonts w:hint="eastAsia" w:ascii="仿宋_GB2312" w:hAnsi="仿宋_GB2312" w:eastAsia="仿宋_GB2312" w:cs="仿宋_GB2312"/>
          <w:b w:val="0"/>
          <w:bCs w:val="0"/>
          <w:i w:val="0"/>
          <w:caps w:val="0"/>
          <w:color w:val="auto"/>
          <w:spacing w:val="0"/>
          <w:sz w:val="32"/>
          <w:szCs w:val="32"/>
          <w:shd w:val="clear" w:fill="FFFFFF"/>
        </w:rPr>
        <w:t>攻克行业共性的环保、安全问题，</w:t>
      </w:r>
      <w:r>
        <w:rPr>
          <w:rFonts w:hint="eastAsia" w:cs="Times New Roman"/>
          <w:b w:val="0"/>
          <w:bCs w:val="0"/>
          <w:strike w:val="0"/>
          <w:dstrike w:val="0"/>
          <w:color w:val="auto"/>
          <w:kern w:val="2"/>
          <w:sz w:val="32"/>
          <w:szCs w:val="32"/>
          <w:highlight w:val="none"/>
          <w:lang w:val="en-US" w:eastAsia="zh-CN" w:bidi="ar-SA"/>
        </w:rPr>
        <w:t>对已向市生态环境局松阳分局、县应急管理局申报的项目，在期限内完成并通过验收的，</w:t>
      </w:r>
      <w:r>
        <w:rPr>
          <w:rFonts w:hint="eastAsia" w:ascii="仿宋_GB2312" w:hAnsi="仿宋_GB2312" w:eastAsia="仿宋_GB2312" w:cs="仿宋_GB2312"/>
          <w:b w:val="0"/>
          <w:bCs w:val="0"/>
          <w:i w:val="0"/>
          <w:caps w:val="0"/>
          <w:color w:val="auto"/>
          <w:spacing w:val="0"/>
          <w:sz w:val="32"/>
          <w:szCs w:val="32"/>
          <w:shd w:val="clear" w:fill="FFFFFF"/>
        </w:rPr>
        <w:t>给予项目实际审定投资额20%的补助，单个项目</w:t>
      </w:r>
      <w:r>
        <w:rPr>
          <w:rFonts w:hint="eastAsia" w:ascii="仿宋_GB2312" w:hAnsi="仿宋_GB2312" w:eastAsia="仿宋_GB2312" w:cs="仿宋_GB2312"/>
          <w:b w:val="0"/>
          <w:bCs w:val="0"/>
          <w:i w:val="0"/>
          <w:caps w:val="0"/>
          <w:color w:val="auto"/>
          <w:spacing w:val="0"/>
          <w:sz w:val="32"/>
          <w:szCs w:val="32"/>
          <w:shd w:val="clear" w:fill="FFFFFF"/>
          <w:lang w:eastAsia="zh-CN"/>
        </w:rPr>
        <w:t>补助金额</w:t>
      </w:r>
      <w:r>
        <w:rPr>
          <w:rFonts w:hint="eastAsia" w:ascii="仿宋_GB2312" w:hAnsi="仿宋_GB2312" w:eastAsia="仿宋_GB2312" w:cs="仿宋_GB2312"/>
          <w:b w:val="0"/>
          <w:bCs w:val="0"/>
          <w:i w:val="0"/>
          <w:caps w:val="0"/>
          <w:color w:val="auto"/>
          <w:spacing w:val="0"/>
          <w:sz w:val="32"/>
          <w:szCs w:val="32"/>
          <w:shd w:val="clear" w:fill="FFFFFF"/>
        </w:rPr>
        <w:t>最高不超过50万元。</w:t>
      </w:r>
    </w:p>
    <w:p>
      <w:pPr>
        <w:keepNext w:val="0"/>
        <w:keepLines w:val="0"/>
        <w:pageBreakBefore w:val="0"/>
        <w:widowControl/>
        <w:numPr>
          <w:ilvl w:val="-1"/>
          <w:numId w:val="0"/>
        </w:numPr>
        <w:suppressLineNumbers w:val="0"/>
        <w:kinsoku/>
        <w:wordWrap/>
        <w:overflowPunct/>
        <w:topLinePunct w:val="0"/>
        <w:autoSpaceDE/>
        <w:autoSpaceDN/>
        <w:bidi w:val="0"/>
        <w:adjustRightInd/>
        <w:snapToGrid/>
        <w:spacing w:beforeAutospacing="0" w:afterAutospacing="0" w:line="560" w:lineRule="exact"/>
        <w:ind w:left="0" w:leftChars="0" w:right="0" w:rightChars="0" w:firstLine="632" w:firstLineChars="200"/>
        <w:jc w:val="left"/>
        <w:textAlignment w:val="auto"/>
        <w:outlineLvl w:val="9"/>
        <w:rPr>
          <w:rFonts w:hint="default" w:eastAsia="仿宋_GB2312" w:cs="Times New Roman"/>
          <w:b w:val="0"/>
          <w:bCs w:val="0"/>
          <w:snapToGrid/>
          <w:color w:val="auto"/>
          <w:spacing w:val="0"/>
          <w:w w:val="100"/>
          <w:kern w:val="2"/>
          <w:sz w:val="32"/>
          <w:szCs w:val="32"/>
          <w:highlight w:val="none"/>
          <w:u w:val="none"/>
          <w:lang w:val="en-US" w:eastAsia="zh-CN" w:bidi="ar-SA"/>
        </w:rPr>
      </w:pPr>
      <w:r>
        <w:rPr>
          <w:rFonts w:hint="eastAsia" w:eastAsia="楷体_GB2312" w:cs="Times New Roman"/>
          <w:b w:val="0"/>
          <w:bCs w:val="0"/>
          <w:snapToGrid w:val="0"/>
          <w:color w:val="auto"/>
          <w:spacing w:val="0"/>
          <w:w w:val="100"/>
          <w:kern w:val="0"/>
          <w:sz w:val="32"/>
          <w:szCs w:val="32"/>
          <w:highlight w:val="none"/>
          <w:u w:val="none"/>
          <w:lang w:val="en-US" w:eastAsia="zh-CN" w:bidi="ar-SA"/>
        </w:rPr>
        <w:t>7.支持企业贷款贴息。</w:t>
      </w:r>
      <w:r>
        <w:rPr>
          <w:rFonts w:hint="eastAsia" w:cs="Times New Roman"/>
          <w:b w:val="0"/>
          <w:bCs w:val="0"/>
          <w:strike w:val="0"/>
          <w:dstrike w:val="0"/>
          <w:color w:val="auto"/>
          <w:kern w:val="2"/>
          <w:sz w:val="32"/>
          <w:szCs w:val="32"/>
          <w:highlight w:val="none"/>
          <w:lang w:val="en-US" w:eastAsia="zh-CN" w:bidi="ar-SA"/>
        </w:rPr>
        <w:t>对企业在符合条件的银行业金融机构贷款用于技术改造项目的，</w:t>
      </w:r>
      <w:r>
        <w:rPr>
          <w:rFonts w:hint="eastAsia" w:cs="Times New Roman"/>
          <w:b w:val="0"/>
          <w:bCs w:val="0"/>
          <w:strike w:val="0"/>
          <w:snapToGrid/>
          <w:color w:val="auto"/>
          <w:spacing w:val="0"/>
          <w:w w:val="100"/>
          <w:kern w:val="2"/>
          <w:sz w:val="32"/>
          <w:szCs w:val="32"/>
          <w:highlight w:val="none"/>
          <w:u w:val="none"/>
          <w:lang w:val="en-US" w:eastAsia="zh-CN" w:bidi="ar-SA"/>
        </w:rPr>
        <w:t>以银行第一笔放款时间为准，贷款满一年后可申请100BP贴息，</w:t>
      </w:r>
      <w:r>
        <w:rPr>
          <w:rFonts w:hint="default" w:cs="Times New Roman"/>
          <w:b w:val="0"/>
          <w:bCs w:val="0"/>
          <w:strike w:val="0"/>
          <w:snapToGrid/>
          <w:color w:val="auto"/>
          <w:spacing w:val="0"/>
          <w:w w:val="100"/>
          <w:kern w:val="2"/>
          <w:sz w:val="32"/>
          <w:szCs w:val="32"/>
          <w:highlight w:val="none"/>
          <w:u w:val="none"/>
          <w:lang w:val="en-US" w:eastAsia="zh-CN" w:bidi="ar-SA"/>
        </w:rPr>
        <w:t>年贴息</w:t>
      </w:r>
      <w:r>
        <w:rPr>
          <w:rFonts w:hint="eastAsia" w:cs="Times New Roman"/>
          <w:b w:val="0"/>
          <w:bCs w:val="0"/>
          <w:strike w:val="0"/>
          <w:snapToGrid/>
          <w:color w:val="auto"/>
          <w:spacing w:val="0"/>
          <w:w w:val="100"/>
          <w:kern w:val="2"/>
          <w:sz w:val="32"/>
          <w:szCs w:val="32"/>
          <w:highlight w:val="none"/>
          <w:u w:val="none"/>
          <w:lang w:val="en-US" w:eastAsia="zh-CN" w:bidi="ar-SA"/>
        </w:rPr>
        <w:t>期限</w:t>
      </w:r>
      <w:r>
        <w:rPr>
          <w:rFonts w:hint="default" w:eastAsia="仿宋_GB2312" w:cs="Times New Roman"/>
          <w:b w:val="0"/>
          <w:bCs w:val="0"/>
          <w:snapToGrid/>
          <w:color w:val="auto"/>
          <w:spacing w:val="0"/>
          <w:w w:val="100"/>
          <w:kern w:val="2"/>
          <w:sz w:val="32"/>
          <w:szCs w:val="32"/>
          <w:highlight w:val="none"/>
          <w:u w:val="none"/>
          <w:lang w:val="en-US" w:eastAsia="zh-CN" w:bidi="ar-SA"/>
        </w:rPr>
        <w:t>最多不超过</w:t>
      </w:r>
      <w:r>
        <w:rPr>
          <w:rFonts w:hint="eastAsia" w:cs="Times New Roman"/>
          <w:b w:val="0"/>
          <w:bCs w:val="0"/>
          <w:strike w:val="0"/>
          <w:snapToGrid/>
          <w:color w:val="auto"/>
          <w:spacing w:val="0"/>
          <w:w w:val="100"/>
          <w:kern w:val="2"/>
          <w:sz w:val="32"/>
          <w:szCs w:val="32"/>
          <w:highlight w:val="none"/>
          <w:u w:val="none"/>
          <w:lang w:val="en-US" w:eastAsia="zh-CN" w:bidi="ar-SA"/>
        </w:rPr>
        <w:t>2</w:t>
      </w:r>
      <w:r>
        <w:rPr>
          <w:rFonts w:hint="default" w:eastAsia="仿宋_GB2312" w:cs="Times New Roman"/>
          <w:b w:val="0"/>
          <w:bCs w:val="0"/>
          <w:snapToGrid/>
          <w:color w:val="auto"/>
          <w:spacing w:val="0"/>
          <w:w w:val="100"/>
          <w:kern w:val="2"/>
          <w:sz w:val="32"/>
          <w:szCs w:val="32"/>
          <w:highlight w:val="none"/>
          <w:u w:val="none"/>
          <w:lang w:val="en-US" w:eastAsia="zh-CN" w:bidi="ar-SA"/>
        </w:rPr>
        <w:t>年，</w:t>
      </w:r>
      <w:r>
        <w:rPr>
          <w:rFonts w:hint="eastAsia" w:ascii="仿宋_GB2312" w:hAnsi="仿宋_GB2312" w:eastAsia="仿宋_GB2312" w:cs="仿宋_GB2312"/>
          <w:b w:val="0"/>
          <w:bCs w:val="0"/>
          <w:snapToGrid/>
          <w:color w:val="auto"/>
          <w:spacing w:val="0"/>
          <w:w w:val="100"/>
          <w:kern w:val="2"/>
          <w:sz w:val="32"/>
          <w:szCs w:val="32"/>
          <w:highlight w:val="none"/>
          <w:u w:val="none"/>
          <w:lang w:val="en-US" w:eastAsia="zh-CN" w:bidi="ar-SA"/>
        </w:rPr>
        <w:t>单家企业年贴息奖励额度最高不超过50万元。</w:t>
      </w:r>
    </w:p>
    <w:p>
      <w:pPr>
        <w:keepNext w:val="0"/>
        <w:keepLines w:val="0"/>
        <w:pageBreakBefore w:val="0"/>
        <w:numPr>
          <w:ilvl w:val="255"/>
          <w:numId w:val="0"/>
        </w:numPr>
        <w:kinsoku/>
        <w:wordWrap/>
        <w:overflowPunct/>
        <w:topLinePunct w:val="0"/>
        <w:autoSpaceDE/>
        <w:autoSpaceDN/>
        <w:bidi w:val="0"/>
        <w:spacing w:line="560" w:lineRule="exact"/>
        <w:ind w:firstLine="632" w:firstLineChars="200"/>
        <w:textAlignment w:val="auto"/>
        <w:rPr>
          <w:rFonts w:ascii="仿宋_GB2312" w:hAnsi="仿宋_GB2312" w:eastAsia="仿宋_GB2312" w:cs="仿宋_GB2312"/>
          <w:b w:val="0"/>
          <w:bCs w:val="0"/>
          <w:sz w:val="32"/>
          <w:szCs w:val="32"/>
          <w:shd w:val="clear" w:color="auto" w:fill="FFFFFF"/>
        </w:rPr>
      </w:pPr>
      <w:r>
        <w:rPr>
          <w:rFonts w:hint="eastAsia" w:eastAsia="楷体_GB2312" w:cs="Times New Roman"/>
          <w:b w:val="0"/>
          <w:bCs w:val="0"/>
          <w:snapToGrid w:val="0"/>
          <w:color w:val="auto"/>
          <w:spacing w:val="0"/>
          <w:w w:val="100"/>
          <w:kern w:val="0"/>
          <w:sz w:val="32"/>
          <w:szCs w:val="32"/>
          <w:highlight w:val="none"/>
          <w:u w:val="none"/>
          <w:lang w:val="en-US" w:eastAsia="zh-CN" w:bidi="ar-SA"/>
        </w:rPr>
        <w:t>8.持续深化不锈钢管行业公平。</w:t>
      </w:r>
      <w:r>
        <w:rPr>
          <w:rFonts w:hint="eastAsia" w:ascii="仿宋_GB2312" w:hAnsi="仿宋_GB2312" w:eastAsia="仿宋_GB2312" w:cs="仿宋_GB2312"/>
          <w:sz w:val="32"/>
          <w:szCs w:val="32"/>
          <w:shd w:val="clear" w:color="auto" w:fill="FFFFFF"/>
        </w:rPr>
        <w:t>优化调整评价指标，对企业</w:t>
      </w:r>
      <w:r>
        <w:rPr>
          <w:rFonts w:hint="eastAsia" w:ascii="仿宋_GB2312" w:hAnsi="仿宋_GB2312" w:eastAsia="仿宋_GB2312" w:cs="仿宋_GB2312"/>
          <w:sz w:val="32"/>
          <w:szCs w:val="32"/>
        </w:rPr>
        <w:t>亩均税收、单位</w:t>
      </w:r>
      <w:r>
        <w:rPr>
          <w:rFonts w:hint="eastAsia" w:ascii="仿宋_GB2312" w:hAnsi="仿宋_GB2312" w:cs="仿宋_GB2312"/>
          <w:sz w:val="32"/>
          <w:szCs w:val="32"/>
          <w:lang w:eastAsia="zh-CN"/>
        </w:rPr>
        <w:t>能耗税收</w:t>
      </w:r>
      <w:r>
        <w:rPr>
          <w:rFonts w:hint="eastAsia" w:ascii="仿宋_GB2312" w:hAnsi="仿宋_GB2312" w:cs="仿宋_GB2312"/>
          <w:sz w:val="32"/>
          <w:szCs w:val="32"/>
          <w:shd w:val="clear" w:color="auto" w:fill="FFFFFF"/>
          <w:lang w:eastAsia="zh-CN"/>
        </w:rPr>
        <w:t>两</w:t>
      </w:r>
      <w:r>
        <w:rPr>
          <w:rFonts w:hint="eastAsia" w:ascii="仿宋_GB2312" w:hAnsi="仿宋_GB2312" w:eastAsia="仿宋_GB2312" w:cs="仿宋_GB2312"/>
          <w:sz w:val="32"/>
          <w:szCs w:val="32"/>
          <w:shd w:val="clear" w:color="auto" w:fill="FFFFFF"/>
        </w:rPr>
        <w:t>个指标进行按月监测，季度“三色”预警亮牌；将行业公平与亩均绩效评价有机结合，行业公平亮牌结果运用于亩均绩效评价，正向激励“蓝牌”企业、反向倒逼“黄牌”和“红牌”企业，助推企业转型升级、提质增效。</w:t>
      </w:r>
    </w:p>
    <w:p>
      <w:pPr>
        <w:keepNext w:val="0"/>
        <w:keepLines w:val="0"/>
        <w:pageBreakBefore w:val="0"/>
        <w:widowControl/>
        <w:numPr>
          <w:ilvl w:val="-1"/>
          <w:numId w:val="0"/>
        </w:numPr>
        <w:suppressLineNumbers w:val="0"/>
        <w:kinsoku/>
        <w:wordWrap/>
        <w:overflowPunct/>
        <w:topLinePunct w:val="0"/>
        <w:autoSpaceDE/>
        <w:autoSpaceDN/>
        <w:bidi w:val="0"/>
        <w:adjustRightInd/>
        <w:snapToGrid/>
        <w:spacing w:beforeAutospacing="0" w:afterAutospacing="0" w:line="560" w:lineRule="exact"/>
        <w:ind w:left="0" w:leftChars="0" w:right="0" w:rightChars="0" w:firstLine="632" w:firstLineChars="200"/>
        <w:jc w:val="left"/>
        <w:textAlignment w:val="auto"/>
        <w:outlineLvl w:val="9"/>
        <w:rPr>
          <w:rFonts w:hint="eastAsia" w:ascii="楷体_GB2312" w:hAnsi="楷体_GB2312" w:eastAsia="楷体_GB2312" w:cs="楷体_GB2312"/>
          <w:b w:val="0"/>
          <w:bCs w:val="0"/>
          <w:snapToGrid/>
          <w:color w:val="auto"/>
          <w:spacing w:val="0"/>
          <w:w w:val="100"/>
          <w:kern w:val="2"/>
          <w:sz w:val="32"/>
          <w:szCs w:val="32"/>
          <w:highlight w:val="none"/>
          <w:u w:val="none"/>
          <w:lang w:val="en-US" w:eastAsia="zh-CN" w:bidi="ar-SA"/>
        </w:rPr>
      </w:pPr>
      <w:r>
        <w:rPr>
          <w:rFonts w:hint="eastAsia" w:ascii="楷体_GB2312" w:hAnsi="楷体_GB2312" w:eastAsia="楷体_GB2312" w:cs="楷体_GB2312"/>
          <w:b w:val="0"/>
          <w:bCs w:val="0"/>
          <w:snapToGrid/>
          <w:color w:val="auto"/>
          <w:spacing w:val="0"/>
          <w:w w:val="100"/>
          <w:kern w:val="2"/>
          <w:sz w:val="32"/>
          <w:szCs w:val="32"/>
          <w:highlight w:val="none"/>
          <w:u w:val="none"/>
          <w:lang w:val="en-US" w:eastAsia="zh-CN" w:bidi="ar-SA"/>
        </w:rPr>
        <w:t>9.其他事项</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right="0" w:rightChars="0" w:firstLine="640" w:firstLineChars="0"/>
        <w:jc w:val="both"/>
        <w:textAlignment w:val="auto"/>
        <w:outlineLvl w:val="9"/>
        <w:rPr>
          <w:rFonts w:hint="default" w:ascii="Times New Roman" w:hAnsi="Times New Roman" w:eastAsia="仿宋_GB2312" w:cs="Times New Roman"/>
          <w:b w:val="0"/>
          <w:bCs w:val="0"/>
          <w:snapToGrid w:val="0"/>
          <w:color w:val="auto"/>
          <w:spacing w:val="0"/>
          <w:w w:val="100"/>
          <w:kern w:val="0"/>
          <w:sz w:val="32"/>
          <w:szCs w:val="32"/>
          <w:highlight w:val="none"/>
          <w:u w:val="none"/>
          <w:lang w:val="en-US" w:eastAsia="zh-CN" w:bidi="ar-SA"/>
        </w:rPr>
      </w:pPr>
      <w:r>
        <w:rPr>
          <w:rFonts w:hint="eastAsia" w:cs="Times New Roman"/>
          <w:b w:val="0"/>
          <w:bCs w:val="0"/>
          <w:snapToGrid w:val="0"/>
          <w:color w:val="auto"/>
          <w:spacing w:val="0"/>
          <w:w w:val="100"/>
          <w:kern w:val="0"/>
          <w:sz w:val="32"/>
          <w:szCs w:val="32"/>
          <w:highlight w:val="none"/>
          <w:u w:val="none"/>
          <w:lang w:val="en-US" w:eastAsia="zh-CN" w:bidi="ar-SA"/>
        </w:rPr>
        <w:t>（1）本政策措施适用对象为</w:t>
      </w:r>
      <w:r>
        <w:rPr>
          <w:rFonts w:hint="default" w:ascii="Times New Roman" w:hAnsi="Times New Roman" w:eastAsia="仿宋_GB2312" w:cs="Times New Roman"/>
          <w:b w:val="0"/>
          <w:bCs w:val="0"/>
          <w:snapToGrid w:val="0"/>
          <w:color w:val="auto"/>
          <w:spacing w:val="0"/>
          <w:w w:val="100"/>
          <w:kern w:val="0"/>
          <w:sz w:val="32"/>
          <w:szCs w:val="32"/>
          <w:highlight w:val="none"/>
          <w:u w:val="none"/>
          <w:lang w:val="en-US" w:eastAsia="zh-CN" w:bidi="ar-SA"/>
        </w:rPr>
        <w:t>在本县范围内</w:t>
      </w:r>
      <w:r>
        <w:rPr>
          <w:rFonts w:hint="eastAsia" w:cs="Times New Roman"/>
          <w:b w:val="0"/>
          <w:bCs w:val="0"/>
          <w:strike w:val="0"/>
          <w:dstrike w:val="0"/>
          <w:color w:val="auto"/>
          <w:kern w:val="2"/>
          <w:sz w:val="32"/>
          <w:szCs w:val="32"/>
          <w:highlight w:val="none"/>
          <w:lang w:val="en-US" w:eastAsia="zh-CN" w:bidi="ar-SA"/>
        </w:rPr>
        <w:t>诚信</w:t>
      </w:r>
      <w:r>
        <w:rPr>
          <w:rFonts w:hint="default" w:ascii="Times New Roman" w:hAnsi="Times New Roman" w:eastAsia="仿宋_GB2312" w:cs="Times New Roman"/>
          <w:b w:val="0"/>
          <w:bCs w:val="0"/>
          <w:snapToGrid w:val="0"/>
          <w:color w:val="auto"/>
          <w:spacing w:val="0"/>
          <w:w w:val="100"/>
          <w:kern w:val="0"/>
          <w:sz w:val="32"/>
          <w:szCs w:val="32"/>
          <w:highlight w:val="none"/>
          <w:u w:val="none"/>
          <w:lang w:val="en-US" w:eastAsia="zh-CN" w:bidi="ar-SA"/>
        </w:rPr>
        <w:t>经营、</w:t>
      </w:r>
      <w:r>
        <w:rPr>
          <w:rFonts w:hint="eastAsia" w:cs="Times New Roman"/>
          <w:b w:val="0"/>
          <w:bCs w:val="0"/>
          <w:strike w:val="0"/>
          <w:dstrike w:val="0"/>
          <w:color w:val="auto"/>
          <w:kern w:val="2"/>
          <w:sz w:val="32"/>
          <w:szCs w:val="32"/>
          <w:highlight w:val="none"/>
          <w:lang w:val="en-US" w:eastAsia="zh-CN" w:bidi="ar-SA"/>
        </w:rPr>
        <w:t>依法</w:t>
      </w:r>
      <w:r>
        <w:rPr>
          <w:rFonts w:hint="default" w:ascii="Times New Roman" w:hAnsi="Times New Roman" w:eastAsia="仿宋_GB2312" w:cs="Times New Roman"/>
          <w:b w:val="0"/>
          <w:bCs w:val="0"/>
          <w:snapToGrid w:val="0"/>
          <w:color w:val="auto"/>
          <w:spacing w:val="0"/>
          <w:w w:val="100"/>
          <w:kern w:val="0"/>
          <w:sz w:val="32"/>
          <w:szCs w:val="32"/>
          <w:highlight w:val="none"/>
          <w:u w:val="none"/>
          <w:lang w:val="en-US" w:eastAsia="zh-CN" w:bidi="ar-SA"/>
        </w:rPr>
        <w:t>纳税、符合产业政策、具有独立法人资格、财务独立核算的不锈钢企业及其</w:t>
      </w:r>
      <w:r>
        <w:rPr>
          <w:rFonts w:hint="eastAsia" w:cs="Times New Roman"/>
          <w:b w:val="0"/>
          <w:bCs w:val="0"/>
          <w:snapToGrid w:val="0"/>
          <w:color w:val="auto"/>
          <w:spacing w:val="0"/>
          <w:w w:val="100"/>
          <w:kern w:val="0"/>
          <w:sz w:val="32"/>
          <w:szCs w:val="32"/>
          <w:highlight w:val="none"/>
          <w:u w:val="none"/>
          <w:lang w:val="en-US" w:eastAsia="zh-CN" w:bidi="ar-SA"/>
        </w:rPr>
        <w:t>产业链</w:t>
      </w:r>
      <w:r>
        <w:rPr>
          <w:rFonts w:hint="default" w:ascii="Times New Roman" w:hAnsi="Times New Roman" w:eastAsia="仿宋_GB2312" w:cs="Times New Roman"/>
          <w:b w:val="0"/>
          <w:bCs w:val="0"/>
          <w:snapToGrid w:val="0"/>
          <w:color w:val="auto"/>
          <w:spacing w:val="0"/>
          <w:w w:val="100"/>
          <w:kern w:val="0"/>
          <w:sz w:val="32"/>
          <w:szCs w:val="32"/>
          <w:highlight w:val="none"/>
          <w:u w:val="none"/>
          <w:lang w:val="en-US" w:eastAsia="zh-CN" w:bidi="ar-SA"/>
        </w:rPr>
        <w:t>配套服务企业。列入本政策</w:t>
      </w:r>
      <w:r>
        <w:rPr>
          <w:rFonts w:hint="eastAsia" w:cs="Times New Roman"/>
          <w:b w:val="0"/>
          <w:bCs w:val="0"/>
          <w:snapToGrid w:val="0"/>
          <w:color w:val="auto"/>
          <w:spacing w:val="0"/>
          <w:w w:val="100"/>
          <w:kern w:val="0"/>
          <w:sz w:val="32"/>
          <w:szCs w:val="32"/>
          <w:highlight w:val="none"/>
          <w:u w:val="none"/>
          <w:lang w:val="en-US" w:eastAsia="zh-CN" w:bidi="ar-SA"/>
        </w:rPr>
        <w:t>措施</w:t>
      </w:r>
      <w:r>
        <w:rPr>
          <w:rFonts w:hint="default" w:ascii="Times New Roman" w:hAnsi="Times New Roman" w:eastAsia="仿宋_GB2312" w:cs="Times New Roman"/>
          <w:b w:val="0"/>
          <w:bCs w:val="0"/>
          <w:snapToGrid w:val="0"/>
          <w:color w:val="auto"/>
          <w:spacing w:val="0"/>
          <w:w w:val="100"/>
          <w:kern w:val="0"/>
          <w:sz w:val="32"/>
          <w:szCs w:val="32"/>
          <w:highlight w:val="none"/>
          <w:u w:val="none"/>
          <w:lang w:val="en-US" w:eastAsia="zh-CN" w:bidi="ar-SA"/>
        </w:rPr>
        <w:t>奖励的投资项目</w:t>
      </w:r>
      <w:r>
        <w:rPr>
          <w:rFonts w:hint="eastAsia" w:cs="Times New Roman"/>
          <w:b w:val="0"/>
          <w:bCs w:val="0"/>
          <w:snapToGrid w:val="0"/>
          <w:color w:val="auto"/>
          <w:spacing w:val="0"/>
          <w:w w:val="100"/>
          <w:kern w:val="0"/>
          <w:sz w:val="32"/>
          <w:szCs w:val="32"/>
          <w:highlight w:val="none"/>
          <w:u w:val="none"/>
          <w:lang w:val="en-US" w:eastAsia="zh-CN" w:bidi="ar-SA"/>
        </w:rPr>
        <w:t>应当</w:t>
      </w:r>
      <w:r>
        <w:rPr>
          <w:rFonts w:hint="default" w:ascii="Times New Roman" w:hAnsi="Times New Roman" w:eastAsia="仿宋_GB2312" w:cs="Times New Roman"/>
          <w:b w:val="0"/>
          <w:bCs w:val="0"/>
          <w:snapToGrid w:val="0"/>
          <w:color w:val="auto"/>
          <w:spacing w:val="0"/>
          <w:w w:val="100"/>
          <w:kern w:val="0"/>
          <w:sz w:val="32"/>
          <w:szCs w:val="32"/>
          <w:highlight w:val="none"/>
          <w:u w:val="none"/>
          <w:lang w:val="en-US" w:eastAsia="zh-CN" w:bidi="ar-SA"/>
        </w:rPr>
        <w:t>经主管部门备案</w:t>
      </w:r>
      <w:r>
        <w:rPr>
          <w:rFonts w:hint="eastAsia" w:cs="Times New Roman"/>
          <w:b w:val="0"/>
          <w:bCs w:val="0"/>
          <w:snapToGrid w:val="0"/>
          <w:color w:val="auto"/>
          <w:spacing w:val="0"/>
          <w:w w:val="100"/>
          <w:kern w:val="0"/>
          <w:sz w:val="32"/>
          <w:szCs w:val="32"/>
          <w:highlight w:val="none"/>
          <w:u w:val="none"/>
          <w:lang w:val="en-US" w:eastAsia="zh-CN" w:bidi="ar-SA"/>
        </w:rPr>
        <w:t>通过</w:t>
      </w:r>
      <w:r>
        <w:rPr>
          <w:rFonts w:hint="default" w:ascii="Times New Roman" w:hAnsi="Times New Roman" w:eastAsia="仿宋_GB2312" w:cs="Times New Roman"/>
          <w:b w:val="0"/>
          <w:bCs w:val="0"/>
          <w:snapToGrid w:val="0"/>
          <w:color w:val="auto"/>
          <w:spacing w:val="0"/>
          <w:w w:val="100"/>
          <w:kern w:val="0"/>
          <w:sz w:val="32"/>
          <w:szCs w:val="32"/>
          <w:highlight w:val="none"/>
          <w:u w:val="none"/>
          <w:lang w:val="en-US" w:eastAsia="zh-CN" w:bidi="ar-SA"/>
        </w:rPr>
        <w:t>。</w:t>
      </w:r>
      <w:r>
        <w:rPr>
          <w:rFonts w:hint="eastAsia" w:cs="Times New Roman"/>
          <w:b w:val="0"/>
          <w:bCs w:val="0"/>
          <w:snapToGrid w:val="0"/>
          <w:color w:val="auto"/>
          <w:spacing w:val="0"/>
          <w:w w:val="100"/>
          <w:kern w:val="0"/>
          <w:sz w:val="32"/>
          <w:szCs w:val="32"/>
          <w:highlight w:val="none"/>
          <w:u w:val="none"/>
          <w:lang w:val="en-US" w:eastAsia="zh-CN" w:bidi="ar-SA"/>
        </w:rPr>
        <w:t>本政策措施当中的奖励及补贴纳入我县财政预算统筹安排。</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right="0" w:rightChars="0" w:firstLine="632" w:firstLineChars="200"/>
        <w:jc w:val="both"/>
        <w:textAlignment w:val="auto"/>
        <w:outlineLvl w:val="9"/>
        <w:rPr>
          <w:rFonts w:hint="default" w:ascii="Times New Roman" w:hAnsi="Times New Roman" w:eastAsia="仿宋_GB2312" w:cs="Times New Roman"/>
          <w:b w:val="0"/>
          <w:bCs w:val="0"/>
          <w:snapToGrid w:val="0"/>
          <w:color w:val="auto"/>
          <w:spacing w:val="0"/>
          <w:w w:val="100"/>
          <w:kern w:val="0"/>
          <w:sz w:val="32"/>
          <w:szCs w:val="32"/>
          <w:highlight w:val="none"/>
          <w:u w:val="none"/>
          <w:lang w:val="en-US" w:eastAsia="zh-CN" w:bidi="ar-SA"/>
        </w:rPr>
      </w:pPr>
      <w:r>
        <w:rPr>
          <w:rFonts w:hint="eastAsia" w:cs="Times New Roman"/>
          <w:b w:val="0"/>
          <w:bCs w:val="0"/>
          <w:snapToGrid w:val="0"/>
          <w:color w:val="auto"/>
          <w:spacing w:val="0"/>
          <w:w w:val="100"/>
          <w:kern w:val="0"/>
          <w:sz w:val="32"/>
          <w:szCs w:val="32"/>
          <w:highlight w:val="none"/>
          <w:u w:val="none"/>
          <w:lang w:val="en-US" w:eastAsia="zh-CN" w:bidi="ar-SA"/>
        </w:rPr>
        <w:t>（2）</w:t>
      </w:r>
      <w:r>
        <w:rPr>
          <w:rFonts w:hint="default" w:ascii="Times New Roman" w:hAnsi="Times New Roman" w:eastAsia="仿宋_GB2312" w:cs="Times New Roman"/>
          <w:b w:val="0"/>
          <w:bCs w:val="0"/>
          <w:snapToGrid w:val="0"/>
          <w:color w:val="auto"/>
          <w:spacing w:val="0"/>
          <w:w w:val="100"/>
          <w:kern w:val="0"/>
          <w:sz w:val="32"/>
          <w:szCs w:val="32"/>
          <w:highlight w:val="none"/>
          <w:u w:val="none"/>
          <w:lang w:val="en-US" w:eastAsia="zh-CN" w:bidi="ar-SA"/>
        </w:rPr>
        <w:t>对年内发生较大及以上安全生产事故、</w:t>
      </w:r>
      <w:r>
        <w:rPr>
          <w:rFonts w:hint="eastAsia" w:cs="Times New Roman"/>
          <w:b w:val="0"/>
          <w:bCs w:val="0"/>
          <w:strike w:val="0"/>
          <w:snapToGrid w:val="0"/>
          <w:color w:val="auto"/>
          <w:spacing w:val="0"/>
          <w:w w:val="100"/>
          <w:kern w:val="0"/>
          <w:sz w:val="32"/>
          <w:szCs w:val="32"/>
          <w:highlight w:val="none"/>
          <w:u w:val="none"/>
          <w:lang w:val="en-US" w:eastAsia="zh-CN" w:bidi="ar-SA"/>
        </w:rPr>
        <w:t>一般及以上突发环境事件</w:t>
      </w:r>
      <w:r>
        <w:rPr>
          <w:rFonts w:hint="default" w:ascii="Times New Roman" w:hAnsi="Times New Roman" w:eastAsia="仿宋_GB2312" w:cs="Times New Roman"/>
          <w:b w:val="0"/>
          <w:bCs w:val="0"/>
          <w:snapToGrid w:val="0"/>
          <w:color w:val="auto"/>
          <w:spacing w:val="0"/>
          <w:w w:val="100"/>
          <w:kern w:val="0"/>
          <w:sz w:val="32"/>
          <w:szCs w:val="32"/>
          <w:highlight w:val="none"/>
          <w:u w:val="none"/>
          <w:lang w:val="en-US" w:eastAsia="zh-CN" w:bidi="ar-SA"/>
        </w:rPr>
        <w:t>、重大税</w:t>
      </w:r>
      <w:r>
        <w:rPr>
          <w:rFonts w:hint="eastAsia" w:cs="Times New Roman"/>
          <w:b w:val="0"/>
          <w:bCs w:val="0"/>
          <w:snapToGrid w:val="0"/>
          <w:color w:val="auto"/>
          <w:spacing w:val="0"/>
          <w:w w:val="100"/>
          <w:kern w:val="0"/>
          <w:sz w:val="32"/>
          <w:szCs w:val="32"/>
          <w:highlight w:val="none"/>
          <w:u w:val="none"/>
          <w:lang w:val="en-US" w:eastAsia="zh-CN" w:bidi="ar-SA"/>
        </w:rPr>
        <w:t>收</w:t>
      </w:r>
      <w:r>
        <w:rPr>
          <w:rFonts w:hint="default" w:ascii="Times New Roman" w:hAnsi="Times New Roman" w:eastAsia="仿宋_GB2312" w:cs="Times New Roman"/>
          <w:b w:val="0"/>
          <w:bCs w:val="0"/>
          <w:snapToGrid w:val="0"/>
          <w:color w:val="auto"/>
          <w:spacing w:val="0"/>
          <w:w w:val="100"/>
          <w:kern w:val="0"/>
          <w:sz w:val="32"/>
          <w:szCs w:val="32"/>
          <w:highlight w:val="none"/>
          <w:u w:val="none"/>
          <w:lang w:val="en-US" w:eastAsia="zh-CN" w:bidi="ar-SA"/>
        </w:rPr>
        <w:t>违法行为</w:t>
      </w:r>
      <w:r>
        <w:rPr>
          <w:rFonts w:hint="eastAsia" w:cs="Times New Roman"/>
          <w:b w:val="0"/>
          <w:bCs w:val="0"/>
          <w:snapToGrid w:val="0"/>
          <w:color w:val="auto"/>
          <w:spacing w:val="0"/>
          <w:w w:val="100"/>
          <w:kern w:val="0"/>
          <w:sz w:val="32"/>
          <w:szCs w:val="32"/>
          <w:highlight w:val="none"/>
          <w:u w:val="none"/>
          <w:lang w:val="en-US" w:eastAsia="zh-CN" w:bidi="ar-SA"/>
        </w:rPr>
        <w:t>，</w:t>
      </w:r>
      <w:r>
        <w:rPr>
          <w:rFonts w:hint="default" w:ascii="Times New Roman" w:hAnsi="Times New Roman" w:eastAsia="仿宋_GB2312" w:cs="Times New Roman"/>
          <w:b w:val="0"/>
          <w:bCs w:val="0"/>
          <w:snapToGrid w:val="0"/>
          <w:color w:val="auto"/>
          <w:spacing w:val="0"/>
          <w:w w:val="100"/>
          <w:kern w:val="0"/>
          <w:sz w:val="32"/>
          <w:szCs w:val="32"/>
          <w:highlight w:val="none"/>
          <w:u w:val="none"/>
          <w:lang w:val="en-US" w:eastAsia="zh-CN" w:bidi="ar-SA"/>
        </w:rPr>
        <w:t>年度</w:t>
      </w:r>
      <w:r>
        <w:rPr>
          <w:rFonts w:hint="eastAsia" w:cs="Times New Roman"/>
          <w:b w:val="0"/>
          <w:bCs w:val="0"/>
          <w:snapToGrid w:val="0"/>
          <w:color w:val="auto"/>
          <w:spacing w:val="0"/>
          <w:w w:val="100"/>
          <w:kern w:val="0"/>
          <w:sz w:val="32"/>
          <w:szCs w:val="32"/>
          <w:highlight w:val="none"/>
          <w:u w:val="none"/>
          <w:lang w:val="en-US" w:eastAsia="zh-CN" w:bidi="ar-SA"/>
        </w:rPr>
        <w:t>“</w:t>
      </w:r>
      <w:r>
        <w:rPr>
          <w:rFonts w:hint="default" w:ascii="Times New Roman" w:hAnsi="Times New Roman" w:eastAsia="仿宋_GB2312" w:cs="Times New Roman"/>
          <w:b w:val="0"/>
          <w:bCs w:val="0"/>
          <w:snapToGrid w:val="0"/>
          <w:color w:val="auto"/>
          <w:spacing w:val="0"/>
          <w:w w:val="100"/>
          <w:kern w:val="0"/>
          <w:sz w:val="32"/>
          <w:szCs w:val="32"/>
          <w:highlight w:val="none"/>
          <w:u w:val="none"/>
          <w:lang w:val="en-US" w:eastAsia="zh-CN" w:bidi="ar-SA"/>
        </w:rPr>
        <w:t>亩均论英雄</w:t>
      </w:r>
      <w:r>
        <w:rPr>
          <w:rFonts w:hint="eastAsia" w:cs="Times New Roman"/>
          <w:b w:val="0"/>
          <w:bCs w:val="0"/>
          <w:snapToGrid w:val="0"/>
          <w:color w:val="auto"/>
          <w:spacing w:val="0"/>
          <w:w w:val="100"/>
          <w:kern w:val="0"/>
          <w:sz w:val="32"/>
          <w:szCs w:val="32"/>
          <w:highlight w:val="none"/>
          <w:u w:val="none"/>
          <w:lang w:val="en-US" w:eastAsia="zh-CN" w:bidi="ar-SA"/>
        </w:rPr>
        <w:t>”</w:t>
      </w:r>
      <w:r>
        <w:rPr>
          <w:rFonts w:hint="default" w:ascii="Times New Roman" w:hAnsi="Times New Roman" w:eastAsia="仿宋_GB2312" w:cs="Times New Roman"/>
          <w:b w:val="0"/>
          <w:bCs w:val="0"/>
          <w:snapToGrid w:val="0"/>
          <w:color w:val="auto"/>
          <w:spacing w:val="0"/>
          <w:w w:val="100"/>
          <w:kern w:val="0"/>
          <w:sz w:val="32"/>
          <w:szCs w:val="32"/>
          <w:highlight w:val="none"/>
          <w:u w:val="none"/>
          <w:lang w:val="en-US" w:eastAsia="zh-CN" w:bidi="ar-SA"/>
        </w:rPr>
        <w:t>综合评价D类的企业，不予兑现当年奖补资金（由相关主管部门提出证明），</w:t>
      </w:r>
      <w:r>
        <w:rPr>
          <w:rFonts w:hint="default" w:ascii="Times New Roman" w:hAnsi="Times New Roman" w:cs="Times New Roman"/>
          <w:b w:val="0"/>
          <w:bCs w:val="0"/>
          <w:snapToGrid w:val="0"/>
          <w:color w:val="auto"/>
          <w:spacing w:val="0"/>
          <w:w w:val="100"/>
          <w:kern w:val="0"/>
          <w:sz w:val="32"/>
          <w:szCs w:val="32"/>
          <w:highlight w:val="none"/>
          <w:u w:val="none"/>
          <w:lang w:val="en-US" w:eastAsia="zh-CN" w:bidi="ar-SA"/>
        </w:rPr>
        <w:t>若</w:t>
      </w:r>
      <w:r>
        <w:rPr>
          <w:rFonts w:hint="default" w:ascii="Times New Roman" w:hAnsi="Times New Roman" w:eastAsia="仿宋_GB2312" w:cs="Times New Roman"/>
          <w:b w:val="0"/>
          <w:bCs w:val="0"/>
          <w:snapToGrid w:val="0"/>
          <w:color w:val="auto"/>
          <w:spacing w:val="0"/>
          <w:w w:val="100"/>
          <w:kern w:val="0"/>
          <w:sz w:val="32"/>
          <w:szCs w:val="32"/>
          <w:highlight w:val="none"/>
          <w:u w:val="none"/>
          <w:lang w:val="en-US" w:eastAsia="zh-CN" w:bidi="ar-SA"/>
        </w:rPr>
        <w:t>企业提供虚假申报材料则收回相应奖励。</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right="0" w:rightChars="0" w:firstLine="640" w:firstLineChars="0"/>
        <w:jc w:val="both"/>
        <w:textAlignment w:val="auto"/>
        <w:outlineLvl w:val="9"/>
        <w:rPr>
          <w:rFonts w:hint="default" w:ascii="Times New Roman" w:hAnsi="Times New Roman" w:eastAsia="仿宋_GB2312" w:cs="Times New Roman"/>
          <w:b w:val="0"/>
          <w:bCs w:val="0"/>
          <w:snapToGrid w:val="0"/>
          <w:color w:val="auto"/>
          <w:spacing w:val="0"/>
          <w:w w:val="100"/>
          <w:kern w:val="0"/>
          <w:sz w:val="32"/>
          <w:szCs w:val="32"/>
          <w:highlight w:val="none"/>
          <w:u w:val="none"/>
          <w:lang w:val="en-US" w:eastAsia="zh-CN" w:bidi="ar-SA"/>
        </w:rPr>
      </w:pPr>
      <w:r>
        <w:rPr>
          <w:rFonts w:hint="eastAsia" w:cs="Times New Roman"/>
          <w:b w:val="0"/>
          <w:bCs w:val="0"/>
          <w:snapToGrid w:val="0"/>
          <w:color w:val="auto"/>
          <w:spacing w:val="0"/>
          <w:w w:val="100"/>
          <w:kern w:val="0"/>
          <w:sz w:val="32"/>
          <w:szCs w:val="32"/>
          <w:highlight w:val="none"/>
          <w:u w:val="none"/>
          <w:lang w:val="en-US" w:eastAsia="zh-CN" w:bidi="ar-SA"/>
        </w:rPr>
        <w:t>（3）</w:t>
      </w:r>
      <w:r>
        <w:rPr>
          <w:rFonts w:hint="default" w:ascii="Times New Roman" w:hAnsi="Times New Roman" w:eastAsia="仿宋_GB2312" w:cs="Times New Roman"/>
          <w:b w:val="0"/>
          <w:bCs w:val="0"/>
          <w:snapToGrid w:val="0"/>
          <w:color w:val="auto"/>
          <w:spacing w:val="0"/>
          <w:w w:val="100"/>
          <w:kern w:val="0"/>
          <w:sz w:val="32"/>
          <w:szCs w:val="32"/>
          <w:highlight w:val="none"/>
          <w:u w:val="none"/>
          <w:lang w:val="en-US" w:eastAsia="zh-CN" w:bidi="ar-SA"/>
        </w:rPr>
        <w:t>本政策</w:t>
      </w:r>
      <w:r>
        <w:rPr>
          <w:rFonts w:hint="eastAsia" w:cs="Times New Roman"/>
          <w:b w:val="0"/>
          <w:bCs w:val="0"/>
          <w:snapToGrid w:val="0"/>
          <w:color w:val="auto"/>
          <w:spacing w:val="0"/>
          <w:w w:val="100"/>
          <w:kern w:val="0"/>
          <w:sz w:val="32"/>
          <w:szCs w:val="32"/>
          <w:highlight w:val="none"/>
          <w:u w:val="none"/>
          <w:lang w:val="en-US" w:eastAsia="zh-CN" w:bidi="ar-SA"/>
        </w:rPr>
        <w:t>措施</w:t>
      </w:r>
      <w:r>
        <w:rPr>
          <w:rFonts w:hint="default" w:ascii="Times New Roman" w:hAnsi="Times New Roman" w:eastAsia="仿宋_GB2312" w:cs="Times New Roman"/>
          <w:b w:val="0"/>
          <w:bCs w:val="0"/>
          <w:snapToGrid w:val="0"/>
          <w:color w:val="auto"/>
          <w:spacing w:val="0"/>
          <w:w w:val="100"/>
          <w:kern w:val="0"/>
          <w:sz w:val="32"/>
          <w:szCs w:val="32"/>
          <w:highlight w:val="none"/>
          <w:u w:val="none"/>
          <w:lang w:val="en-US" w:eastAsia="zh-CN" w:bidi="ar-SA"/>
        </w:rPr>
        <w:t>所称</w:t>
      </w:r>
      <w:r>
        <w:rPr>
          <w:rFonts w:hint="eastAsia" w:cs="Times New Roman"/>
          <w:b w:val="0"/>
          <w:bCs w:val="0"/>
          <w:snapToGrid w:val="0"/>
          <w:color w:val="auto"/>
          <w:spacing w:val="0"/>
          <w:w w:val="100"/>
          <w:kern w:val="0"/>
          <w:sz w:val="32"/>
          <w:szCs w:val="32"/>
          <w:highlight w:val="none"/>
          <w:u w:val="none"/>
          <w:lang w:val="en-US" w:eastAsia="zh-CN" w:bidi="ar-SA"/>
        </w:rPr>
        <w:t>“</w:t>
      </w:r>
      <w:r>
        <w:rPr>
          <w:rFonts w:hint="default" w:ascii="Times New Roman" w:hAnsi="Times New Roman" w:eastAsia="仿宋_GB2312" w:cs="Times New Roman"/>
          <w:b w:val="0"/>
          <w:bCs w:val="0"/>
          <w:snapToGrid w:val="0"/>
          <w:color w:val="auto"/>
          <w:spacing w:val="0"/>
          <w:w w:val="100"/>
          <w:kern w:val="0"/>
          <w:sz w:val="32"/>
          <w:szCs w:val="32"/>
          <w:highlight w:val="none"/>
          <w:u w:val="none"/>
          <w:lang w:val="en-US" w:eastAsia="zh-CN" w:bidi="ar-SA"/>
        </w:rPr>
        <w:t>以上</w:t>
      </w:r>
      <w:r>
        <w:rPr>
          <w:rFonts w:hint="eastAsia" w:cs="Times New Roman"/>
          <w:b w:val="0"/>
          <w:bCs w:val="0"/>
          <w:snapToGrid w:val="0"/>
          <w:color w:val="auto"/>
          <w:spacing w:val="0"/>
          <w:w w:val="100"/>
          <w:kern w:val="0"/>
          <w:sz w:val="32"/>
          <w:szCs w:val="32"/>
          <w:highlight w:val="none"/>
          <w:u w:val="none"/>
          <w:lang w:val="en-US" w:eastAsia="zh-CN" w:bidi="ar-SA"/>
        </w:rPr>
        <w:t>”“不</w:t>
      </w:r>
      <w:r>
        <w:rPr>
          <w:rFonts w:hint="default" w:ascii="Times New Roman" w:hAnsi="Times New Roman" w:eastAsia="仿宋_GB2312" w:cs="Times New Roman"/>
          <w:b w:val="0"/>
          <w:bCs w:val="0"/>
          <w:snapToGrid w:val="0"/>
          <w:color w:val="auto"/>
          <w:spacing w:val="0"/>
          <w:w w:val="100"/>
          <w:kern w:val="0"/>
          <w:sz w:val="32"/>
          <w:szCs w:val="32"/>
          <w:highlight w:val="none"/>
          <w:u w:val="none"/>
          <w:lang w:val="en-US" w:eastAsia="zh-CN" w:bidi="ar-SA"/>
        </w:rPr>
        <w:t>超过</w:t>
      </w:r>
      <w:r>
        <w:rPr>
          <w:rFonts w:hint="eastAsia" w:cs="Times New Roman"/>
          <w:b w:val="0"/>
          <w:bCs w:val="0"/>
          <w:snapToGrid w:val="0"/>
          <w:color w:val="auto"/>
          <w:spacing w:val="0"/>
          <w:w w:val="100"/>
          <w:kern w:val="0"/>
          <w:sz w:val="32"/>
          <w:szCs w:val="32"/>
          <w:highlight w:val="none"/>
          <w:u w:val="none"/>
          <w:lang w:val="en-US" w:eastAsia="zh-CN" w:bidi="ar-SA"/>
        </w:rPr>
        <w:t>”</w:t>
      </w:r>
      <w:r>
        <w:rPr>
          <w:rFonts w:hint="default" w:ascii="Times New Roman" w:hAnsi="Times New Roman" w:eastAsia="仿宋_GB2312" w:cs="Times New Roman"/>
          <w:b w:val="0"/>
          <w:bCs w:val="0"/>
          <w:snapToGrid w:val="0"/>
          <w:color w:val="auto"/>
          <w:spacing w:val="0"/>
          <w:w w:val="100"/>
          <w:kern w:val="0"/>
          <w:sz w:val="32"/>
          <w:szCs w:val="32"/>
          <w:highlight w:val="none"/>
          <w:u w:val="none"/>
          <w:lang w:val="en-US" w:eastAsia="zh-CN" w:bidi="ar-SA"/>
        </w:rPr>
        <w:t>均包含本数，涉及兑现投入和投资类金额均以不含税计价。</w:t>
      </w:r>
    </w:p>
    <w:p>
      <w:pPr>
        <w:keepNext w:val="0"/>
        <w:keepLines w:val="0"/>
        <w:pageBreakBefore w:val="0"/>
        <w:widowControl w:val="0"/>
        <w:kinsoku/>
        <w:wordWrap/>
        <w:overflowPunct/>
        <w:topLinePunct w:val="0"/>
        <w:autoSpaceDE/>
        <w:autoSpaceDN/>
        <w:bidi w:val="0"/>
        <w:snapToGrid w:val="0"/>
        <w:spacing w:line="560" w:lineRule="exact"/>
        <w:ind w:left="0" w:leftChars="0" w:right="0" w:rightChars="0" w:firstLine="632" w:firstLineChars="200"/>
        <w:textAlignment w:val="auto"/>
        <w:outlineLvl w:val="9"/>
        <w:rPr>
          <w:rFonts w:hint="default" w:ascii="Times New Roman" w:hAnsi="Times New Roman" w:eastAsia="仿宋_GB2312" w:cs="Times New Roman"/>
          <w:b w:val="0"/>
          <w:bCs w:val="0"/>
          <w:snapToGrid w:val="0"/>
          <w:color w:val="auto"/>
          <w:kern w:val="0"/>
          <w:sz w:val="32"/>
          <w:szCs w:val="32"/>
          <w:highlight w:val="none"/>
          <w:lang w:val="en-US" w:eastAsia="zh-CN" w:bidi="ar-SA"/>
        </w:rPr>
      </w:pPr>
      <w:r>
        <w:rPr>
          <w:rFonts w:hint="eastAsia" w:cs="Times New Roman"/>
          <w:b w:val="0"/>
          <w:bCs w:val="0"/>
          <w:strike w:val="0"/>
          <w:dstrike w:val="0"/>
          <w:snapToGrid w:val="0"/>
          <w:color w:val="auto"/>
          <w:spacing w:val="0"/>
          <w:w w:val="100"/>
          <w:kern w:val="0"/>
          <w:sz w:val="32"/>
          <w:szCs w:val="32"/>
          <w:highlight w:val="none"/>
          <w:u w:val="none"/>
          <w:lang w:val="en-US" w:eastAsia="zh-CN" w:bidi="ar-SA"/>
        </w:rPr>
        <w:t>（4）</w:t>
      </w:r>
      <w:r>
        <w:rPr>
          <w:rFonts w:hint="default" w:ascii="Times New Roman" w:hAnsi="Times New Roman" w:eastAsia="仿宋_GB2312" w:cs="Times New Roman"/>
          <w:b w:val="0"/>
          <w:bCs w:val="0"/>
          <w:snapToGrid w:val="0"/>
          <w:color w:val="auto"/>
          <w:spacing w:val="0"/>
          <w:w w:val="100"/>
          <w:kern w:val="0"/>
          <w:sz w:val="32"/>
          <w:szCs w:val="32"/>
          <w:highlight w:val="none"/>
          <w:u w:val="none"/>
          <w:lang w:val="en-US" w:eastAsia="zh-CN" w:bidi="ar-SA"/>
        </w:rPr>
        <w:t>本政策</w:t>
      </w:r>
      <w:r>
        <w:rPr>
          <w:rFonts w:hint="eastAsia" w:cs="Times New Roman"/>
          <w:b w:val="0"/>
          <w:bCs w:val="0"/>
          <w:snapToGrid w:val="0"/>
          <w:color w:val="auto"/>
          <w:spacing w:val="0"/>
          <w:w w:val="100"/>
          <w:kern w:val="0"/>
          <w:sz w:val="32"/>
          <w:szCs w:val="32"/>
          <w:highlight w:val="none"/>
          <w:u w:val="none"/>
          <w:lang w:val="en-US" w:eastAsia="zh-CN" w:bidi="ar-SA"/>
        </w:rPr>
        <w:t>措施</w:t>
      </w:r>
      <w:r>
        <w:rPr>
          <w:rFonts w:hint="default" w:ascii="Times New Roman" w:hAnsi="Times New Roman" w:eastAsia="仿宋_GB2312" w:cs="Times New Roman"/>
          <w:b w:val="0"/>
          <w:bCs w:val="0"/>
          <w:snapToGrid w:val="0"/>
          <w:color w:val="auto"/>
          <w:spacing w:val="0"/>
          <w:w w:val="100"/>
          <w:kern w:val="0"/>
          <w:sz w:val="32"/>
          <w:szCs w:val="32"/>
          <w:highlight w:val="none"/>
          <w:u w:val="none"/>
          <w:lang w:val="en-US" w:eastAsia="zh-CN" w:bidi="ar-SA"/>
        </w:rPr>
        <w:t>自202</w:t>
      </w:r>
      <w:r>
        <w:rPr>
          <w:rFonts w:hint="eastAsia" w:cs="Times New Roman"/>
          <w:b w:val="0"/>
          <w:bCs w:val="0"/>
          <w:snapToGrid w:val="0"/>
          <w:color w:val="auto"/>
          <w:spacing w:val="0"/>
          <w:w w:val="100"/>
          <w:kern w:val="0"/>
          <w:sz w:val="32"/>
          <w:szCs w:val="32"/>
          <w:highlight w:val="none"/>
          <w:u w:val="none"/>
          <w:lang w:val="en-US" w:eastAsia="zh-CN" w:bidi="ar-SA"/>
        </w:rPr>
        <w:t>*</w:t>
      </w:r>
      <w:bookmarkStart w:id="0" w:name="_GoBack"/>
      <w:bookmarkEnd w:id="0"/>
      <w:r>
        <w:rPr>
          <w:rFonts w:hint="default" w:ascii="Times New Roman" w:hAnsi="Times New Roman" w:eastAsia="仿宋_GB2312" w:cs="Times New Roman"/>
          <w:b w:val="0"/>
          <w:bCs w:val="0"/>
          <w:snapToGrid w:val="0"/>
          <w:color w:val="auto"/>
          <w:spacing w:val="0"/>
          <w:w w:val="100"/>
          <w:kern w:val="0"/>
          <w:sz w:val="32"/>
          <w:szCs w:val="32"/>
          <w:highlight w:val="none"/>
          <w:u w:val="none"/>
          <w:lang w:val="en-US" w:eastAsia="zh-CN" w:bidi="ar-SA"/>
        </w:rPr>
        <w:t>年*月*日起施行，有效期至202</w:t>
      </w:r>
      <w:r>
        <w:rPr>
          <w:rFonts w:hint="eastAsia" w:ascii="Times New Roman" w:hAnsi="Times New Roman" w:eastAsia="仿宋_GB2312" w:cs="Times New Roman"/>
          <w:b w:val="0"/>
          <w:bCs w:val="0"/>
          <w:snapToGrid w:val="0"/>
          <w:color w:val="auto"/>
          <w:spacing w:val="0"/>
          <w:w w:val="100"/>
          <w:kern w:val="0"/>
          <w:sz w:val="32"/>
          <w:szCs w:val="32"/>
          <w:highlight w:val="none"/>
          <w:u w:val="none"/>
          <w:lang w:val="en-US" w:eastAsia="zh-CN" w:bidi="ar-SA"/>
        </w:rPr>
        <w:t>*</w:t>
      </w:r>
      <w:r>
        <w:rPr>
          <w:rFonts w:hint="default" w:ascii="Times New Roman" w:hAnsi="Times New Roman" w:eastAsia="仿宋_GB2312" w:cs="Times New Roman"/>
          <w:b w:val="0"/>
          <w:bCs w:val="0"/>
          <w:snapToGrid w:val="0"/>
          <w:color w:val="auto"/>
          <w:spacing w:val="0"/>
          <w:w w:val="100"/>
          <w:kern w:val="0"/>
          <w:sz w:val="32"/>
          <w:szCs w:val="32"/>
          <w:highlight w:val="none"/>
          <w:u w:val="none"/>
          <w:lang w:val="en-US" w:eastAsia="zh-CN" w:bidi="ar-SA"/>
        </w:rPr>
        <w:t>年*月*日，期满后企业已享受本政策</w:t>
      </w:r>
      <w:r>
        <w:rPr>
          <w:rFonts w:hint="eastAsia" w:cs="Times New Roman"/>
          <w:b w:val="0"/>
          <w:bCs w:val="0"/>
          <w:snapToGrid w:val="0"/>
          <w:color w:val="auto"/>
          <w:spacing w:val="0"/>
          <w:w w:val="100"/>
          <w:kern w:val="0"/>
          <w:sz w:val="32"/>
          <w:szCs w:val="32"/>
          <w:highlight w:val="none"/>
          <w:u w:val="none"/>
          <w:lang w:val="en-US" w:eastAsia="zh-CN" w:bidi="ar-SA"/>
        </w:rPr>
        <w:t>措施</w:t>
      </w:r>
      <w:r>
        <w:rPr>
          <w:rFonts w:hint="default" w:ascii="Times New Roman" w:hAnsi="Times New Roman" w:eastAsia="仿宋_GB2312" w:cs="Times New Roman"/>
          <w:b w:val="0"/>
          <w:bCs w:val="0"/>
          <w:snapToGrid w:val="0"/>
          <w:color w:val="auto"/>
          <w:spacing w:val="0"/>
          <w:w w:val="100"/>
          <w:kern w:val="0"/>
          <w:sz w:val="32"/>
          <w:szCs w:val="32"/>
          <w:highlight w:val="none"/>
          <w:u w:val="none"/>
          <w:lang w:val="en-US" w:eastAsia="zh-CN" w:bidi="ar-SA"/>
        </w:rPr>
        <w:t>而未到期的按本政策</w:t>
      </w:r>
      <w:r>
        <w:rPr>
          <w:rFonts w:hint="eastAsia" w:cs="Times New Roman"/>
          <w:b w:val="0"/>
          <w:bCs w:val="0"/>
          <w:snapToGrid w:val="0"/>
          <w:color w:val="auto"/>
          <w:spacing w:val="0"/>
          <w:w w:val="100"/>
          <w:kern w:val="0"/>
          <w:sz w:val="32"/>
          <w:szCs w:val="32"/>
          <w:highlight w:val="none"/>
          <w:u w:val="none"/>
          <w:lang w:val="en-US" w:eastAsia="zh-CN" w:bidi="ar-SA"/>
        </w:rPr>
        <w:t>措施</w:t>
      </w:r>
      <w:r>
        <w:rPr>
          <w:rFonts w:hint="default" w:ascii="Times New Roman" w:hAnsi="Times New Roman" w:eastAsia="仿宋_GB2312" w:cs="Times New Roman"/>
          <w:b w:val="0"/>
          <w:bCs w:val="0"/>
          <w:snapToGrid w:val="0"/>
          <w:color w:val="auto"/>
          <w:spacing w:val="0"/>
          <w:w w:val="100"/>
          <w:kern w:val="0"/>
          <w:sz w:val="32"/>
          <w:szCs w:val="32"/>
          <w:highlight w:val="none"/>
          <w:u w:val="none"/>
          <w:lang w:val="en-US" w:eastAsia="zh-CN" w:bidi="ar-SA"/>
        </w:rPr>
        <w:t>执行。同一事项涉及多项奖励的按照就高原则，不同时享受，已享受上级各类优惠政策的项目不再重复享受（明确注明同时享受的除外）</w:t>
      </w:r>
      <w:r>
        <w:rPr>
          <w:rFonts w:hint="default" w:ascii="Times New Roman" w:hAnsi="Times New Roman" w:eastAsia="仿宋_GB2312" w:cs="Times New Roman"/>
          <w:b w:val="0"/>
          <w:bCs w:val="0"/>
          <w:snapToGrid w:val="0"/>
          <w:color w:val="auto"/>
          <w:kern w:val="0"/>
          <w:sz w:val="32"/>
          <w:szCs w:val="32"/>
          <w:highlight w:val="none"/>
          <w:lang w:val="en-US" w:eastAsia="zh-CN" w:bidi="ar-SA"/>
        </w:rPr>
        <w:t>。</w:t>
      </w:r>
    </w:p>
    <w:p>
      <w:pPr>
        <w:pStyle w:val="2"/>
        <w:keepNext w:val="0"/>
        <w:keepLines w:val="0"/>
        <w:pageBreakBefore w:val="0"/>
        <w:kinsoku/>
        <w:wordWrap/>
        <w:overflowPunct/>
        <w:topLinePunct w:val="0"/>
        <w:autoSpaceDE/>
        <w:autoSpaceDN/>
        <w:bidi w:val="0"/>
        <w:spacing w:line="560" w:lineRule="exact"/>
        <w:ind w:firstLine="640"/>
        <w:jc w:val="both"/>
        <w:textAlignment w:val="auto"/>
        <w:rPr>
          <w:rFonts w:hint="eastAsia" w:ascii="Times New Roman" w:hAnsi="Times New Roman" w:eastAsia="仿宋_GB2312" w:cs="Times New Roman"/>
          <w:b w:val="0"/>
          <w:bCs w:val="0"/>
          <w:snapToGrid w:val="0"/>
          <w:color w:val="auto"/>
          <w:spacing w:val="0"/>
          <w:w w:val="100"/>
          <w:kern w:val="0"/>
          <w:sz w:val="32"/>
          <w:szCs w:val="32"/>
          <w:highlight w:val="none"/>
          <w:u w:val="none"/>
          <w:lang w:val="en-US" w:eastAsia="zh-CN" w:bidi="ar-SA"/>
        </w:rPr>
      </w:pPr>
    </w:p>
    <w:p>
      <w:pPr>
        <w:pStyle w:val="2"/>
        <w:keepNext w:val="0"/>
        <w:keepLines w:val="0"/>
        <w:pageBreakBefore w:val="0"/>
        <w:kinsoku/>
        <w:wordWrap/>
        <w:overflowPunct/>
        <w:topLinePunct w:val="0"/>
        <w:autoSpaceDE/>
        <w:autoSpaceDN/>
        <w:bidi w:val="0"/>
        <w:spacing w:line="560" w:lineRule="exact"/>
        <w:ind w:firstLine="640"/>
        <w:jc w:val="both"/>
        <w:textAlignment w:val="auto"/>
        <w:rPr>
          <w:rFonts w:hint="default" w:ascii="Times New Roman" w:hAnsi="Times New Roman" w:eastAsia="仿宋_GB2312" w:cs="Times New Roman"/>
          <w:b w:val="0"/>
          <w:bCs w:val="0"/>
          <w:snapToGrid w:val="0"/>
          <w:color w:val="auto"/>
          <w:spacing w:val="0"/>
          <w:w w:val="100"/>
          <w:kern w:val="0"/>
          <w:sz w:val="32"/>
          <w:szCs w:val="32"/>
          <w:highlight w:val="none"/>
          <w:u w:val="none"/>
          <w:lang w:val="en-US" w:eastAsia="zh-CN" w:bidi="ar-SA"/>
        </w:rPr>
      </w:pPr>
      <w:r>
        <w:rPr>
          <w:rFonts w:hint="eastAsia" w:ascii="Times New Roman" w:hAnsi="Times New Roman" w:eastAsia="仿宋_GB2312" w:cs="Times New Roman"/>
          <w:b w:val="0"/>
          <w:bCs w:val="0"/>
          <w:snapToGrid w:val="0"/>
          <w:color w:val="auto"/>
          <w:spacing w:val="0"/>
          <w:w w:val="100"/>
          <w:kern w:val="0"/>
          <w:sz w:val="32"/>
          <w:szCs w:val="32"/>
          <w:highlight w:val="none"/>
          <w:u w:val="none"/>
          <w:lang w:val="en-US" w:eastAsia="zh-CN" w:bidi="ar-SA"/>
        </w:rPr>
        <w:t>附件：</w:t>
      </w:r>
      <w:r>
        <w:rPr>
          <w:rFonts w:hint="eastAsia" w:eastAsia="仿宋_GB2312" w:cs="Times New Roman"/>
          <w:b w:val="0"/>
          <w:bCs w:val="0"/>
          <w:snapToGrid w:val="0"/>
          <w:color w:val="auto"/>
          <w:spacing w:val="0"/>
          <w:w w:val="100"/>
          <w:kern w:val="0"/>
          <w:sz w:val="32"/>
          <w:szCs w:val="32"/>
          <w:highlight w:val="none"/>
          <w:u w:val="none"/>
          <w:lang w:val="en-US" w:eastAsia="zh-CN" w:bidi="ar-SA"/>
        </w:rPr>
        <w:t>1.不锈钢管企业入园最低标准</w:t>
      </w:r>
    </w:p>
    <w:p>
      <w:pPr>
        <w:pStyle w:val="2"/>
        <w:keepNext w:val="0"/>
        <w:keepLines w:val="0"/>
        <w:pageBreakBefore w:val="0"/>
        <w:kinsoku/>
        <w:wordWrap/>
        <w:overflowPunct/>
        <w:topLinePunct w:val="0"/>
        <w:autoSpaceDE/>
        <w:autoSpaceDN/>
        <w:bidi w:val="0"/>
        <w:spacing w:line="560" w:lineRule="exact"/>
        <w:ind w:firstLine="1580" w:firstLineChars="500"/>
        <w:jc w:val="both"/>
        <w:textAlignment w:val="auto"/>
        <w:rPr>
          <w:rFonts w:hint="eastAsia" w:ascii="Times New Roman" w:hAnsi="Times New Roman" w:eastAsia="仿宋_GB2312" w:cs="Times New Roman"/>
          <w:b w:val="0"/>
          <w:bCs w:val="0"/>
          <w:snapToGrid w:val="0"/>
          <w:color w:val="auto"/>
          <w:spacing w:val="0"/>
          <w:w w:val="100"/>
          <w:kern w:val="0"/>
          <w:sz w:val="32"/>
          <w:szCs w:val="32"/>
          <w:highlight w:val="none"/>
          <w:u w:val="none"/>
          <w:lang w:val="en-US" w:eastAsia="zh-CN" w:bidi="ar-SA"/>
        </w:rPr>
      </w:pPr>
      <w:r>
        <w:rPr>
          <w:rFonts w:hint="eastAsia" w:eastAsia="仿宋_GB2312" w:cs="Times New Roman"/>
          <w:b w:val="0"/>
          <w:bCs w:val="0"/>
          <w:snapToGrid w:val="0"/>
          <w:color w:val="auto"/>
          <w:spacing w:val="0"/>
          <w:w w:val="100"/>
          <w:kern w:val="0"/>
          <w:sz w:val="32"/>
          <w:szCs w:val="32"/>
          <w:highlight w:val="none"/>
          <w:u w:val="none"/>
          <w:lang w:val="en-US" w:eastAsia="zh-CN" w:bidi="ar-SA"/>
        </w:rPr>
        <w:t>2.</w:t>
      </w:r>
      <w:r>
        <w:rPr>
          <w:rFonts w:hint="eastAsia" w:ascii="Times New Roman" w:hAnsi="Times New Roman" w:eastAsia="仿宋_GB2312" w:cs="Times New Roman"/>
          <w:b w:val="0"/>
          <w:bCs w:val="0"/>
          <w:snapToGrid w:val="0"/>
          <w:color w:val="auto"/>
          <w:spacing w:val="0"/>
          <w:w w:val="100"/>
          <w:kern w:val="0"/>
          <w:sz w:val="32"/>
          <w:szCs w:val="32"/>
          <w:highlight w:val="none"/>
          <w:u w:val="none"/>
          <w:lang w:val="en-US" w:eastAsia="zh-CN" w:bidi="ar-SA"/>
        </w:rPr>
        <w:t>松阳县深化不锈钢管行业公平发展的实施意</w:t>
      </w:r>
    </w:p>
    <w:p>
      <w:pPr>
        <w:pStyle w:val="2"/>
        <w:keepNext w:val="0"/>
        <w:keepLines w:val="0"/>
        <w:pageBreakBefore w:val="0"/>
        <w:kinsoku/>
        <w:wordWrap/>
        <w:overflowPunct/>
        <w:topLinePunct w:val="0"/>
        <w:autoSpaceDE/>
        <w:autoSpaceDN/>
        <w:bidi w:val="0"/>
        <w:spacing w:line="560" w:lineRule="exact"/>
        <w:ind w:firstLine="1896" w:firstLineChars="600"/>
        <w:jc w:val="both"/>
        <w:textAlignment w:val="auto"/>
        <w:rPr>
          <w:rFonts w:eastAsia="仿宋_GB2312"/>
          <w:sz w:val="32"/>
          <w:szCs w:val="32"/>
        </w:rPr>
      </w:pPr>
      <w:r>
        <w:rPr>
          <w:rFonts w:hint="eastAsia" w:ascii="Times New Roman" w:hAnsi="Times New Roman" w:eastAsia="仿宋_GB2312" w:cs="Times New Roman"/>
          <w:b w:val="0"/>
          <w:bCs w:val="0"/>
          <w:snapToGrid w:val="0"/>
          <w:color w:val="auto"/>
          <w:spacing w:val="0"/>
          <w:w w:val="100"/>
          <w:kern w:val="0"/>
          <w:sz w:val="32"/>
          <w:szCs w:val="32"/>
          <w:highlight w:val="none"/>
          <w:u w:val="none"/>
          <w:lang w:val="en-US" w:eastAsia="zh-CN" w:bidi="ar-SA"/>
        </w:rPr>
        <w:t>见</w:t>
      </w:r>
    </w:p>
    <w:p>
      <w:pPr>
        <w:keepNext w:val="0"/>
        <w:keepLines w:val="0"/>
        <w:pageBreakBefore w:val="0"/>
        <w:kinsoku/>
        <w:wordWrap/>
        <w:overflowPunct/>
        <w:topLinePunct w:val="0"/>
        <w:autoSpaceDE/>
        <w:autoSpaceDN/>
        <w:bidi w:val="0"/>
        <w:spacing w:line="560" w:lineRule="exact"/>
        <w:ind w:firstLine="632" w:firstLineChars="200"/>
        <w:jc w:val="left"/>
        <w:textAlignment w:val="auto"/>
        <w:rPr>
          <w:rFonts w:eastAsia="仿宋_GB2312"/>
          <w:sz w:val="32"/>
          <w:szCs w:val="32"/>
        </w:rPr>
        <w:sectPr>
          <w:headerReference r:id="rId3" w:type="default"/>
          <w:footerReference r:id="rId4" w:type="default"/>
          <w:footerReference r:id="rId5" w:type="even"/>
          <w:pgSz w:w="11907" w:h="16840"/>
          <w:pgMar w:top="1440" w:right="1800" w:bottom="1440" w:left="1800" w:header="851" w:footer="1247" w:gutter="0"/>
          <w:pgNumType w:fmt="numberInDash"/>
          <w:cols w:space="720" w:num="1"/>
          <w:docGrid w:type="linesAndChars" w:linePitch="579" w:charSpace="-842"/>
        </w:sectPr>
      </w:pPr>
    </w:p>
    <w:p>
      <w:pPr>
        <w:keepNext w:val="0"/>
        <w:keepLines w:val="0"/>
        <w:pageBreakBefore w:val="0"/>
        <w:kinsoku/>
        <w:wordWrap/>
        <w:overflowPunct/>
        <w:topLinePunct w:val="0"/>
        <w:autoSpaceDE/>
        <w:autoSpaceDN/>
        <w:bidi w:val="0"/>
        <w:spacing w:line="560" w:lineRule="exact"/>
        <w:jc w:val="left"/>
        <w:textAlignment w:val="auto"/>
        <w:rPr>
          <w:rFonts w:hint="eastAsia" w:cs="Times New Roman"/>
          <w:b w:val="0"/>
          <w:bCs w:val="0"/>
          <w:snapToGrid w:val="0"/>
          <w:color w:val="auto"/>
          <w:spacing w:val="0"/>
          <w:w w:val="100"/>
          <w:kern w:val="0"/>
          <w:sz w:val="32"/>
          <w:szCs w:val="32"/>
          <w:highlight w:val="none"/>
          <w:u w:val="none"/>
          <w:lang w:val="en-US" w:eastAsia="zh-CN" w:bidi="ar-SA"/>
        </w:rPr>
      </w:pPr>
      <w:r>
        <w:rPr>
          <w:rFonts w:hint="eastAsia" w:ascii="Times New Roman" w:hAnsi="Times New Roman" w:cs="Times New Roman"/>
          <w:b w:val="0"/>
          <w:bCs w:val="0"/>
          <w:snapToGrid w:val="0"/>
          <w:color w:val="auto"/>
          <w:spacing w:val="0"/>
          <w:w w:val="100"/>
          <w:kern w:val="0"/>
          <w:sz w:val="32"/>
          <w:szCs w:val="32"/>
          <w:highlight w:val="none"/>
          <w:u w:val="none"/>
          <w:lang w:val="en-US" w:eastAsia="zh-CN" w:bidi="ar-SA"/>
        </w:rPr>
        <w:t>附件</w:t>
      </w:r>
      <w:r>
        <w:rPr>
          <w:rFonts w:hint="eastAsia" w:cs="Times New Roman"/>
          <w:b w:val="0"/>
          <w:bCs w:val="0"/>
          <w:snapToGrid w:val="0"/>
          <w:color w:val="auto"/>
          <w:spacing w:val="0"/>
          <w:w w:val="100"/>
          <w:kern w:val="0"/>
          <w:sz w:val="32"/>
          <w:szCs w:val="32"/>
          <w:highlight w:val="none"/>
          <w:u w:val="none"/>
          <w:lang w:val="en-US" w:eastAsia="zh-CN" w:bidi="ar-SA"/>
        </w:rPr>
        <w:t>1：</w:t>
      </w:r>
    </w:p>
    <w:p>
      <w:pPr>
        <w:keepNext w:val="0"/>
        <w:keepLines w:val="0"/>
        <w:pageBreakBefore w:val="0"/>
        <w:kinsoku/>
        <w:wordWrap/>
        <w:overflowPunct/>
        <w:topLinePunct w:val="0"/>
        <w:autoSpaceDE/>
        <w:autoSpaceDN/>
        <w:bidi w:val="0"/>
        <w:spacing w:line="560" w:lineRule="exact"/>
        <w:jc w:val="center"/>
        <w:textAlignment w:val="auto"/>
        <w:rPr>
          <w:rFonts w:hint="eastAsia" w:cs="Times New Roman"/>
          <w:b w:val="0"/>
          <w:bCs w:val="0"/>
          <w:snapToGrid w:val="0"/>
          <w:color w:val="auto"/>
          <w:spacing w:val="0"/>
          <w:w w:val="100"/>
          <w:kern w:val="0"/>
          <w:sz w:val="32"/>
          <w:szCs w:val="32"/>
          <w:highlight w:val="none"/>
          <w:u w:val="none"/>
          <w:lang w:val="en-US" w:eastAsia="zh-CN" w:bidi="ar-SA"/>
        </w:rPr>
      </w:pPr>
      <w:r>
        <w:rPr>
          <w:rFonts w:hint="eastAsia" w:ascii="方正小标宋简体" w:hAnsi="方正小标宋简体" w:eastAsia="方正小标宋简体" w:cs="方正小标宋简体"/>
          <w:b w:val="0"/>
          <w:bCs w:val="0"/>
          <w:snapToGrid w:val="0"/>
          <w:color w:val="auto"/>
          <w:spacing w:val="0"/>
          <w:w w:val="100"/>
          <w:kern w:val="0"/>
          <w:sz w:val="44"/>
          <w:szCs w:val="44"/>
          <w:highlight w:val="none"/>
          <w:u w:val="none"/>
          <w:lang w:val="en-US" w:eastAsia="zh-CN" w:bidi="ar-SA"/>
        </w:rPr>
        <w:t>不锈钢管企业入园最低标准</w:t>
      </w:r>
    </w:p>
    <w:tbl>
      <w:tblPr>
        <w:tblStyle w:val="13"/>
        <w:tblpPr w:leftFromText="180" w:rightFromText="180" w:vertAnchor="text" w:horzAnchor="page" w:tblpXSpec="center" w:tblpY="988"/>
        <w:tblOverlap w:val="never"/>
        <w:tblW w:w="964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489"/>
        <w:gridCol w:w="2331"/>
        <w:gridCol w:w="4494"/>
        <w:gridCol w:w="13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14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名称</w:t>
            </w:r>
          </w:p>
        </w:tc>
        <w:tc>
          <w:tcPr>
            <w:tcW w:w="2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内容</w:t>
            </w:r>
          </w:p>
        </w:tc>
        <w:tc>
          <w:tcPr>
            <w:tcW w:w="4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说明</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责任单位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9" w:hRule="atLeast"/>
          <w:jc w:val="center"/>
        </w:trPr>
        <w:tc>
          <w:tcPr>
            <w:tcW w:w="14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亩均税收（万/亩）</w:t>
            </w:r>
          </w:p>
        </w:tc>
        <w:tc>
          <w:tcPr>
            <w:tcW w:w="2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4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2021年松阳规上工业亩均税收12.78万元/亩，不锈钢亩均税收15.9万元/亩。2021年浙江省制造业行业新增项目产出效益规范指南中不锈钢行业亩均税收15.8万元/亩</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w:t>
            </w:r>
            <w:r>
              <w:rPr>
                <w:rStyle w:val="17"/>
                <w:lang w:val="en-US" w:eastAsia="zh-CN" w:bidi="ar"/>
              </w:rPr>
              <w:t>经济商务局、税务局、开发区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78" w:hRule="atLeast"/>
          <w:jc w:val="center"/>
        </w:trPr>
        <w:tc>
          <w:tcPr>
            <w:tcW w:w="14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投资强度（万/亩）</w:t>
            </w:r>
          </w:p>
        </w:tc>
        <w:tc>
          <w:tcPr>
            <w:tcW w:w="2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4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高于全省对该行业的投资要求；从全行业投资看较为合理；高于已入驻示范园内2个项目投资强度（宝丰投资强度176万元/亩，新创196万元/亩）</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☆经济商务局、开发区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46" w:hRule="atLeast"/>
          <w:jc w:val="center"/>
        </w:trPr>
        <w:tc>
          <w:tcPr>
            <w:tcW w:w="1489"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万元工业增加值能耗（吨标煤/万元）</w:t>
            </w:r>
          </w:p>
        </w:tc>
        <w:tc>
          <w:tcPr>
            <w:tcW w:w="2331"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≤0.52</w:t>
            </w:r>
          </w:p>
        </w:tc>
        <w:tc>
          <w:tcPr>
            <w:tcW w:w="4494"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2021年浙江省制造业行业新增项目产出效益规范指南中不锈钢行业万元工业增加值能耗2.5吨标煤/万元</w:t>
            </w:r>
          </w:p>
        </w:tc>
        <w:tc>
          <w:tcPr>
            <w:tcW w:w="133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☆发改局、开发区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1" w:hRule="atLeast"/>
          <w:jc w:val="center"/>
        </w:trPr>
        <w:tc>
          <w:tcPr>
            <w:tcW w:w="1489"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研发费用占销售收入比重（%）</w:t>
            </w:r>
          </w:p>
        </w:tc>
        <w:tc>
          <w:tcPr>
            <w:tcW w:w="2331"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4494"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在高新技术企业认定中，企业主营业务收入2亿元以上，研发经费占比不低于3%</w:t>
            </w:r>
          </w:p>
        </w:tc>
        <w:tc>
          <w:tcPr>
            <w:tcW w:w="133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☆科技局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1" w:hRule="atLeast"/>
          <w:jc w:val="center"/>
        </w:trPr>
        <w:tc>
          <w:tcPr>
            <w:tcW w:w="1489"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万元工业增加值排放（吨/万元）</w:t>
            </w:r>
          </w:p>
        </w:tc>
        <w:tc>
          <w:tcPr>
            <w:tcW w:w="2331"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≤0.0064</w:t>
            </w:r>
          </w:p>
        </w:tc>
        <w:tc>
          <w:tcPr>
            <w:tcW w:w="4494"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2022年浙江省新增工业项目标准地指导性指标中不锈钢行业万元工业增加值排放不高于0.0064吨/万元</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☆生态环境局松阳分局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4" w:hRule="atLeast"/>
          <w:jc w:val="center"/>
        </w:trPr>
        <w:tc>
          <w:tcPr>
            <w:tcW w:w="14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用地集约</w:t>
            </w:r>
          </w:p>
        </w:tc>
        <w:tc>
          <w:tcPr>
            <w:tcW w:w="23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容积率≥1.6；严格厂区产线布局（需经专家组联合审查），</w:t>
            </w:r>
            <w:r>
              <w:rPr>
                <w:rStyle w:val="18"/>
                <w:lang w:val="en-US" w:eastAsia="zh-CN" w:bidi="ar"/>
              </w:rPr>
              <w:t>建筑密度不低于70%（两层及以上建筑的用地面积占生产性用房总用地面积达到20%,建筑密度可放宽至60%），鼓励厂房内周边建多层建筑；集中废水处理。</w:t>
            </w:r>
          </w:p>
        </w:tc>
        <w:tc>
          <w:tcPr>
            <w:tcW w:w="4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专家组由省特检院、发改、环保、应急、经开区、自规、协会、上海中建建筑设计院等单位人员组成；“标准地”操作办法由自规出台</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☆县府办、自规局、生态环境局松阳分局、开发区</w:t>
            </w:r>
          </w:p>
        </w:tc>
      </w:tr>
    </w:tbl>
    <w:p>
      <w:pPr>
        <w:keepNext w:val="0"/>
        <w:keepLines w:val="0"/>
        <w:pageBreakBefore w:val="0"/>
        <w:kinsoku/>
        <w:wordWrap/>
        <w:overflowPunct/>
        <w:topLinePunct w:val="0"/>
        <w:autoSpaceDE/>
        <w:autoSpaceDN/>
        <w:bidi w:val="0"/>
        <w:spacing w:line="560" w:lineRule="exact"/>
        <w:jc w:val="left"/>
        <w:textAlignment w:val="auto"/>
        <w:rPr>
          <w:rFonts w:hint="default"/>
          <w:lang w:val="en-US" w:eastAsia="zh-CN"/>
        </w:rPr>
      </w:pPr>
    </w:p>
    <w:p>
      <w:pPr>
        <w:keepNext w:val="0"/>
        <w:keepLines w:val="0"/>
        <w:pageBreakBefore w:val="0"/>
        <w:kinsoku/>
        <w:wordWrap/>
        <w:overflowPunct/>
        <w:topLinePunct w:val="0"/>
        <w:autoSpaceDE/>
        <w:autoSpaceDN/>
        <w:bidi w:val="0"/>
        <w:spacing w:line="560" w:lineRule="exact"/>
        <w:jc w:val="both"/>
        <w:textAlignment w:val="auto"/>
        <w:rPr>
          <w:rFonts w:hint="eastAsia" w:ascii="黑体" w:hAnsi="黑体" w:eastAsia="黑体" w:cs="黑体"/>
          <w:b w:val="0"/>
          <w:bCs w:val="0"/>
          <w:snapToGrid w:val="0"/>
          <w:color w:val="auto"/>
          <w:spacing w:val="0"/>
          <w:w w:val="100"/>
          <w:kern w:val="0"/>
          <w:sz w:val="44"/>
          <w:szCs w:val="44"/>
          <w:highlight w:val="none"/>
          <w:u w:val="none"/>
          <w:lang w:val="en-US" w:eastAsia="zh-CN" w:bidi="ar-SA"/>
        </w:rPr>
      </w:pPr>
      <w:r>
        <w:rPr>
          <w:rFonts w:hint="eastAsia" w:ascii="Times New Roman" w:hAnsi="Times New Roman" w:cs="Times New Roman"/>
          <w:b w:val="0"/>
          <w:bCs w:val="0"/>
          <w:snapToGrid w:val="0"/>
          <w:color w:val="auto"/>
          <w:spacing w:val="0"/>
          <w:w w:val="100"/>
          <w:kern w:val="0"/>
          <w:sz w:val="32"/>
          <w:szCs w:val="32"/>
          <w:highlight w:val="none"/>
          <w:u w:val="none"/>
          <w:lang w:val="en-US" w:eastAsia="zh-CN" w:bidi="ar-SA"/>
        </w:rPr>
        <w:t>附件</w:t>
      </w:r>
      <w:r>
        <w:rPr>
          <w:rFonts w:hint="eastAsia" w:cs="Times New Roman"/>
          <w:b w:val="0"/>
          <w:bCs w:val="0"/>
          <w:snapToGrid w:val="0"/>
          <w:color w:val="auto"/>
          <w:spacing w:val="0"/>
          <w:w w:val="100"/>
          <w:kern w:val="0"/>
          <w:sz w:val="32"/>
          <w:szCs w:val="32"/>
          <w:highlight w:val="none"/>
          <w:u w:val="none"/>
          <w:lang w:val="en-US" w:eastAsia="zh-CN" w:bidi="ar-SA"/>
        </w:rPr>
        <w:t>2：</w:t>
      </w:r>
    </w:p>
    <w:p>
      <w:pPr>
        <w:keepNext w:val="0"/>
        <w:keepLines w:val="0"/>
        <w:pageBreakBefore w:val="0"/>
        <w:kinsoku/>
        <w:wordWrap/>
        <w:overflowPunct/>
        <w:topLinePunct w:val="0"/>
        <w:autoSpaceDE/>
        <w:autoSpaceDN/>
        <w:bidi w:val="0"/>
        <w:spacing w:line="560" w:lineRule="exact"/>
        <w:jc w:val="center"/>
        <w:textAlignment w:val="auto"/>
        <w:rPr>
          <w:rFonts w:eastAsia="仿宋_GB2312"/>
          <w:sz w:val="32"/>
          <w:szCs w:val="32"/>
        </w:rPr>
      </w:pPr>
      <w:r>
        <w:rPr>
          <w:rFonts w:hint="eastAsia" w:ascii="黑体" w:hAnsi="黑体" w:eastAsia="黑体" w:cs="黑体"/>
          <w:b w:val="0"/>
          <w:bCs w:val="0"/>
          <w:snapToGrid w:val="0"/>
          <w:color w:val="auto"/>
          <w:spacing w:val="0"/>
          <w:w w:val="100"/>
          <w:kern w:val="0"/>
          <w:sz w:val="44"/>
          <w:szCs w:val="44"/>
          <w:highlight w:val="none"/>
          <w:u w:val="none"/>
          <w:lang w:val="en-US" w:eastAsia="zh-CN" w:bidi="ar-SA"/>
        </w:rPr>
        <w:t>松阳县深化不锈钢管行业公平发展的实施意见</w:t>
      </w:r>
    </w:p>
    <w:p>
      <w:pPr>
        <w:keepNext w:val="0"/>
        <w:keepLines w:val="0"/>
        <w:pageBreakBefore w:val="0"/>
        <w:kinsoku/>
        <w:wordWrap/>
        <w:overflowPunct/>
        <w:topLinePunct w:val="0"/>
        <w:autoSpaceDE/>
        <w:autoSpaceDN/>
        <w:bidi w:val="0"/>
        <w:spacing w:line="560" w:lineRule="exact"/>
        <w:ind w:firstLine="632" w:firstLineChars="200"/>
        <w:jc w:val="left"/>
        <w:textAlignment w:val="auto"/>
        <w:rPr>
          <w:rFonts w:eastAsia="仿宋_GB2312"/>
          <w:sz w:val="32"/>
          <w:szCs w:val="32"/>
        </w:rPr>
      </w:pPr>
      <w:r>
        <w:rPr>
          <w:rFonts w:eastAsia="仿宋_GB2312"/>
          <w:sz w:val="32"/>
          <w:szCs w:val="32"/>
        </w:rPr>
        <w:t>为促进</w:t>
      </w:r>
      <w:r>
        <w:rPr>
          <w:rFonts w:hint="eastAsia" w:eastAsia="仿宋_GB2312"/>
          <w:sz w:val="32"/>
          <w:szCs w:val="32"/>
        </w:rPr>
        <w:t>全</w:t>
      </w:r>
      <w:r>
        <w:rPr>
          <w:rFonts w:hint="eastAsia"/>
          <w:sz w:val="32"/>
          <w:szCs w:val="32"/>
          <w:lang w:eastAsia="zh-CN"/>
        </w:rPr>
        <w:t>县不锈钢管</w:t>
      </w:r>
      <w:r>
        <w:rPr>
          <w:rFonts w:hint="eastAsia" w:eastAsia="仿宋_GB2312"/>
          <w:sz w:val="32"/>
          <w:szCs w:val="32"/>
        </w:rPr>
        <w:t>行业</w:t>
      </w:r>
      <w:r>
        <w:rPr>
          <w:rFonts w:eastAsia="仿宋_GB2312"/>
          <w:sz w:val="32"/>
          <w:szCs w:val="32"/>
        </w:rPr>
        <w:t>有序</w:t>
      </w:r>
      <w:r>
        <w:rPr>
          <w:rFonts w:hint="eastAsia" w:eastAsia="仿宋_GB2312"/>
          <w:sz w:val="32"/>
          <w:szCs w:val="32"/>
        </w:rPr>
        <w:t>、规范、</w:t>
      </w:r>
      <w:r>
        <w:rPr>
          <w:rFonts w:eastAsia="仿宋_GB2312"/>
          <w:sz w:val="32"/>
          <w:szCs w:val="32"/>
        </w:rPr>
        <w:t>健康发展，营造公平公正的发展环境，特制定本</w:t>
      </w:r>
      <w:r>
        <w:rPr>
          <w:rFonts w:hint="eastAsia" w:eastAsia="仿宋_GB2312"/>
          <w:sz w:val="32"/>
          <w:szCs w:val="32"/>
        </w:rPr>
        <w:t>实施意见</w:t>
      </w:r>
      <w:r>
        <w:rPr>
          <w:rFonts w:eastAsia="仿宋_GB2312"/>
          <w:sz w:val="32"/>
          <w:szCs w:val="32"/>
        </w:rPr>
        <w:t>。</w:t>
      </w:r>
    </w:p>
    <w:p>
      <w:pPr>
        <w:keepNext w:val="0"/>
        <w:keepLines w:val="0"/>
        <w:pageBreakBefore w:val="0"/>
        <w:kinsoku/>
        <w:wordWrap/>
        <w:overflowPunct/>
        <w:topLinePunct w:val="0"/>
        <w:autoSpaceDE/>
        <w:autoSpaceDN/>
        <w:bidi w:val="0"/>
        <w:spacing w:line="560" w:lineRule="exact"/>
        <w:ind w:firstLine="632" w:firstLineChars="200"/>
        <w:jc w:val="left"/>
        <w:textAlignment w:val="auto"/>
        <w:rPr>
          <w:rFonts w:eastAsia="黑体"/>
          <w:sz w:val="32"/>
          <w:szCs w:val="32"/>
        </w:rPr>
      </w:pPr>
      <w:r>
        <w:rPr>
          <w:rFonts w:hint="eastAsia" w:eastAsia="黑体"/>
          <w:sz w:val="32"/>
          <w:szCs w:val="32"/>
        </w:rPr>
        <w:t>一、实施范围</w:t>
      </w:r>
    </w:p>
    <w:p>
      <w:pPr>
        <w:keepNext w:val="0"/>
        <w:keepLines w:val="0"/>
        <w:pageBreakBefore w:val="0"/>
        <w:kinsoku/>
        <w:wordWrap/>
        <w:overflowPunct/>
        <w:topLinePunct w:val="0"/>
        <w:autoSpaceDE/>
        <w:autoSpaceDN/>
        <w:bidi w:val="0"/>
        <w:spacing w:line="560" w:lineRule="exact"/>
        <w:ind w:firstLine="632"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全</w:t>
      </w:r>
      <w:r>
        <w:rPr>
          <w:rFonts w:hint="eastAsia" w:ascii="仿宋_GB2312" w:hAnsi="仿宋_GB2312" w:cs="仿宋_GB2312"/>
          <w:sz w:val="32"/>
          <w:szCs w:val="32"/>
          <w:lang w:eastAsia="zh-CN"/>
        </w:rPr>
        <w:t>县不锈钢管企业</w:t>
      </w:r>
      <w:r>
        <w:rPr>
          <w:rFonts w:hint="eastAsia" w:ascii="仿宋_GB2312" w:hAnsi="仿宋_GB2312" w:eastAsia="仿宋_GB2312" w:cs="仿宋_GB2312"/>
          <w:sz w:val="32"/>
          <w:szCs w:val="32"/>
        </w:rPr>
        <w:t>。</w:t>
      </w:r>
    </w:p>
    <w:p>
      <w:pPr>
        <w:keepNext w:val="0"/>
        <w:keepLines w:val="0"/>
        <w:pageBreakBefore w:val="0"/>
        <w:kinsoku/>
        <w:wordWrap/>
        <w:overflowPunct/>
        <w:topLinePunct w:val="0"/>
        <w:autoSpaceDE/>
        <w:autoSpaceDN/>
        <w:bidi w:val="0"/>
        <w:spacing w:line="560" w:lineRule="exact"/>
        <w:ind w:firstLine="632" w:firstLineChars="200"/>
        <w:jc w:val="left"/>
        <w:textAlignment w:val="auto"/>
        <w:rPr>
          <w:rFonts w:eastAsia="黑体"/>
          <w:sz w:val="32"/>
          <w:szCs w:val="32"/>
        </w:rPr>
      </w:pPr>
      <w:r>
        <w:rPr>
          <w:rFonts w:hint="eastAsia" w:eastAsia="黑体"/>
          <w:sz w:val="32"/>
          <w:szCs w:val="32"/>
        </w:rPr>
        <w:t>二、评价指标</w:t>
      </w:r>
    </w:p>
    <w:p>
      <w:pPr>
        <w:keepNext w:val="0"/>
        <w:keepLines w:val="0"/>
        <w:pageBreakBefore w:val="0"/>
        <w:kinsoku/>
        <w:wordWrap/>
        <w:overflowPunct/>
        <w:topLinePunct w:val="0"/>
        <w:autoSpaceDE/>
        <w:autoSpaceDN/>
        <w:bidi w:val="0"/>
        <w:spacing w:line="560" w:lineRule="exact"/>
        <w:ind w:firstLine="632"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以企业亩均税收、单位</w:t>
      </w:r>
      <w:r>
        <w:rPr>
          <w:rFonts w:hint="eastAsia" w:ascii="仿宋_GB2312" w:hAnsi="仿宋_GB2312" w:cs="仿宋_GB2312"/>
          <w:sz w:val="32"/>
          <w:szCs w:val="32"/>
          <w:lang w:eastAsia="zh-CN"/>
        </w:rPr>
        <w:t>电耗耗税收</w:t>
      </w:r>
      <w:r>
        <w:rPr>
          <w:rFonts w:hint="eastAsia" w:ascii="仿宋_GB2312" w:hAnsi="仿宋_GB2312" w:eastAsia="仿宋_GB2312" w:cs="仿宋_GB2312"/>
          <w:sz w:val="32"/>
          <w:szCs w:val="32"/>
        </w:rPr>
        <w:t>作为评价指标。</w:t>
      </w:r>
    </w:p>
    <w:p>
      <w:pPr>
        <w:keepNext w:val="0"/>
        <w:keepLines w:val="0"/>
        <w:pageBreakBefore w:val="0"/>
        <w:kinsoku/>
        <w:wordWrap/>
        <w:overflowPunct/>
        <w:topLinePunct w:val="0"/>
        <w:autoSpaceDE/>
        <w:autoSpaceDN/>
        <w:bidi w:val="0"/>
        <w:spacing w:line="560" w:lineRule="exact"/>
        <w:ind w:firstLine="632" w:firstLineChars="200"/>
        <w:jc w:val="left"/>
        <w:textAlignment w:val="auto"/>
        <w:rPr>
          <w:rFonts w:ascii="仿宋_GB2312" w:hAnsi="仿宋_GB2312" w:eastAsia="仿宋_GB2312" w:cs="仿宋_GB2312"/>
          <w:sz w:val="32"/>
          <w:szCs w:val="32"/>
        </w:rPr>
      </w:pPr>
      <w:r>
        <w:rPr>
          <w:rFonts w:hint="eastAsia" w:eastAsia="黑体"/>
          <w:sz w:val="32"/>
          <w:szCs w:val="32"/>
        </w:rPr>
        <w:t>三、达标路径</w:t>
      </w:r>
    </w:p>
    <w:p>
      <w:pPr>
        <w:keepNext w:val="0"/>
        <w:keepLines w:val="0"/>
        <w:pageBreakBefore w:val="0"/>
        <w:kinsoku/>
        <w:wordWrap/>
        <w:overflowPunct/>
        <w:topLinePunct w:val="0"/>
        <w:autoSpaceDE/>
        <w:autoSpaceDN/>
        <w:bidi w:val="0"/>
        <w:spacing w:line="560" w:lineRule="exact"/>
        <w:ind w:firstLine="632" w:firstLineChars="200"/>
        <w:textAlignment w:val="auto"/>
        <w:rPr>
          <w:rFonts w:ascii="仿宋_GB2312" w:hAnsi="仿宋_GB2312" w:eastAsia="仿宋_GB2312" w:cs="仿宋_GB2312"/>
          <w:sz w:val="32"/>
          <w:szCs w:val="32"/>
        </w:rPr>
      </w:pPr>
      <w:r>
        <w:rPr>
          <w:rFonts w:hint="eastAsia" w:ascii="仿宋_GB2312" w:hAnsi="仿宋_GB2312" w:cs="仿宋_GB2312"/>
          <w:sz w:val="32"/>
          <w:szCs w:val="32"/>
          <w:lang w:val="en-US" w:eastAsia="zh-CN"/>
        </w:rPr>
        <w:t>1</w:t>
      </w:r>
      <w:r>
        <w:rPr>
          <w:rFonts w:hint="eastAsia" w:ascii="仿宋_GB2312" w:hAnsi="仿宋_GB2312" w:eastAsia="仿宋_GB2312" w:cs="仿宋_GB2312"/>
          <w:sz w:val="32"/>
          <w:szCs w:val="32"/>
        </w:rPr>
        <w:t>.亩均税收达到上年度行业平均值的；</w:t>
      </w:r>
    </w:p>
    <w:p>
      <w:pPr>
        <w:keepNext w:val="0"/>
        <w:keepLines w:val="0"/>
        <w:pageBreakBefore w:val="0"/>
        <w:kinsoku/>
        <w:wordWrap/>
        <w:overflowPunct/>
        <w:topLinePunct w:val="0"/>
        <w:autoSpaceDE/>
        <w:autoSpaceDN/>
        <w:bidi w:val="0"/>
        <w:spacing w:line="560" w:lineRule="exact"/>
        <w:ind w:firstLine="632" w:firstLineChars="200"/>
        <w:textAlignment w:val="auto"/>
        <w:rPr>
          <w:rFonts w:ascii="仿宋_GB2312" w:hAnsi="仿宋_GB2312" w:eastAsia="仿宋_GB2312" w:cs="仿宋_GB2312"/>
          <w:sz w:val="32"/>
          <w:szCs w:val="32"/>
        </w:rPr>
      </w:pPr>
      <w:r>
        <w:rPr>
          <w:rFonts w:hint="eastAsia" w:ascii="仿宋_GB2312" w:hAnsi="仿宋_GB2312" w:cs="仿宋_GB2312"/>
          <w:sz w:val="32"/>
          <w:szCs w:val="32"/>
          <w:lang w:val="en-US" w:eastAsia="zh-CN"/>
        </w:rPr>
        <w:t>2</w:t>
      </w:r>
      <w:r>
        <w:rPr>
          <w:rFonts w:hint="eastAsia" w:ascii="仿宋_GB2312" w:hAnsi="仿宋_GB2312" w:eastAsia="仿宋_GB2312" w:cs="仿宋_GB2312"/>
          <w:sz w:val="32"/>
          <w:szCs w:val="32"/>
        </w:rPr>
        <w:t>.单位</w:t>
      </w:r>
      <w:r>
        <w:rPr>
          <w:rFonts w:hint="eastAsia" w:ascii="仿宋_GB2312" w:hAnsi="仿宋_GB2312" w:cs="仿宋_GB2312"/>
          <w:sz w:val="32"/>
          <w:szCs w:val="32"/>
          <w:lang w:eastAsia="zh-CN"/>
        </w:rPr>
        <w:t>能耗税收</w:t>
      </w:r>
      <w:r>
        <w:rPr>
          <w:rFonts w:hint="eastAsia" w:ascii="仿宋_GB2312" w:hAnsi="仿宋_GB2312" w:eastAsia="仿宋_GB2312" w:cs="仿宋_GB2312"/>
          <w:sz w:val="32"/>
          <w:szCs w:val="32"/>
        </w:rPr>
        <w:t>达到上年度行业平均值的；</w:t>
      </w:r>
    </w:p>
    <w:p>
      <w:pPr>
        <w:keepNext w:val="0"/>
        <w:keepLines w:val="0"/>
        <w:pageBreakBefore w:val="0"/>
        <w:kinsoku/>
        <w:wordWrap/>
        <w:overflowPunct/>
        <w:topLinePunct w:val="0"/>
        <w:autoSpaceDE/>
        <w:autoSpaceDN/>
        <w:bidi w:val="0"/>
        <w:spacing w:line="560" w:lineRule="exact"/>
        <w:ind w:firstLine="632" w:firstLineChars="200"/>
        <w:textAlignment w:val="auto"/>
        <w:rPr>
          <w:rFonts w:hint="eastAsia" w:ascii="仿宋_GB2312" w:hAnsi="仿宋_GB2312" w:eastAsia="仿宋_GB2312" w:cs="仿宋_GB2312"/>
          <w:sz w:val="32"/>
          <w:szCs w:val="32"/>
          <w:lang w:eastAsia="zh-CN"/>
        </w:rPr>
      </w:pPr>
      <w:r>
        <w:rPr>
          <w:rFonts w:hint="eastAsia" w:ascii="仿宋_GB2312" w:hAnsi="仿宋_GB2312" w:cs="仿宋_GB2312"/>
          <w:sz w:val="32"/>
          <w:szCs w:val="32"/>
          <w:lang w:val="en-US" w:eastAsia="zh-CN"/>
        </w:rPr>
        <w:t>3</w:t>
      </w:r>
      <w:r>
        <w:rPr>
          <w:rFonts w:hint="eastAsia" w:ascii="仿宋_GB2312" w:hAnsi="仿宋_GB2312" w:eastAsia="仿宋_GB2312" w:cs="仿宋_GB2312"/>
          <w:sz w:val="32"/>
          <w:szCs w:val="32"/>
        </w:rPr>
        <w:t>.实缴税收总额按月达到时序进度的（实缴税收总额=去年细分行业亩均税收×土地面积×1.10）</w:t>
      </w:r>
      <w:r>
        <w:rPr>
          <w:rFonts w:hint="eastAsia" w:ascii="仿宋_GB2312" w:hAnsi="仿宋_GB2312" w:cs="仿宋_GB2312"/>
          <w:sz w:val="32"/>
          <w:szCs w:val="32"/>
          <w:lang w:eastAsia="zh-CN"/>
        </w:rPr>
        <w:t>。</w:t>
      </w:r>
    </w:p>
    <w:p>
      <w:pPr>
        <w:keepNext w:val="0"/>
        <w:keepLines w:val="0"/>
        <w:pageBreakBefore w:val="0"/>
        <w:kinsoku/>
        <w:wordWrap/>
        <w:overflowPunct/>
        <w:topLinePunct w:val="0"/>
        <w:autoSpaceDE/>
        <w:autoSpaceDN/>
        <w:bidi w:val="0"/>
        <w:spacing w:line="560" w:lineRule="exact"/>
        <w:ind w:firstLine="632" w:firstLineChars="200"/>
        <w:jc w:val="left"/>
        <w:textAlignment w:val="auto"/>
        <w:rPr>
          <w:rFonts w:eastAsia="黑体"/>
          <w:sz w:val="32"/>
          <w:szCs w:val="32"/>
        </w:rPr>
      </w:pPr>
      <w:r>
        <w:rPr>
          <w:rFonts w:hint="eastAsia" w:eastAsia="黑体"/>
          <w:sz w:val="32"/>
          <w:szCs w:val="32"/>
        </w:rPr>
        <w:t>四、主要措施</w:t>
      </w:r>
    </w:p>
    <w:p>
      <w:pPr>
        <w:keepNext w:val="0"/>
        <w:keepLines w:val="0"/>
        <w:pageBreakBefore w:val="0"/>
        <w:kinsoku/>
        <w:wordWrap/>
        <w:overflowPunct/>
        <w:topLinePunct w:val="0"/>
        <w:autoSpaceDE/>
        <w:autoSpaceDN/>
        <w:bidi w:val="0"/>
        <w:spacing w:line="560" w:lineRule="exact"/>
        <w:ind w:firstLine="632" w:firstLineChars="200"/>
        <w:textAlignment w:val="auto"/>
        <w:rPr>
          <w:rFonts w:ascii="仿宋_GB2312" w:hAnsi="仿宋_GB2312" w:eastAsia="仿宋_GB2312" w:cs="仿宋_GB2312"/>
          <w:b w:val="0"/>
          <w:bCs w:val="0"/>
          <w:sz w:val="32"/>
          <w:szCs w:val="32"/>
        </w:rPr>
      </w:pPr>
      <w:r>
        <w:rPr>
          <w:rFonts w:hint="eastAsia" w:ascii="仿宋_GB2312" w:hAnsi="仿宋_GB2312" w:eastAsia="仿宋_GB2312" w:cs="仿宋_GB2312"/>
          <w:sz w:val="32"/>
          <w:szCs w:val="32"/>
        </w:rPr>
        <w:t>建立季度“红黄蓝”三色预警机制，对</w:t>
      </w:r>
      <w:r>
        <w:rPr>
          <w:rFonts w:hint="eastAsia" w:ascii="仿宋_GB2312" w:hAnsi="仿宋_GB2312" w:cs="仿宋_GB2312"/>
          <w:sz w:val="32"/>
          <w:szCs w:val="32"/>
          <w:lang w:val="en-US" w:eastAsia="zh-CN"/>
        </w:rPr>
        <w:t>2</w:t>
      </w:r>
      <w:r>
        <w:rPr>
          <w:rFonts w:hint="eastAsia" w:ascii="仿宋_GB2312" w:hAnsi="仿宋_GB2312" w:eastAsia="仿宋_GB2312" w:cs="仿宋_GB2312"/>
          <w:sz w:val="32"/>
          <w:szCs w:val="32"/>
        </w:rPr>
        <w:t>个评价指标中</w:t>
      </w:r>
      <w:r>
        <w:rPr>
          <w:rFonts w:hint="eastAsia" w:ascii="仿宋_GB2312" w:hAnsi="仿宋_GB2312" w:cs="仿宋_GB2312"/>
          <w:sz w:val="32"/>
          <w:szCs w:val="32"/>
          <w:lang w:eastAsia="zh-CN"/>
        </w:rPr>
        <w:t>均</w:t>
      </w:r>
      <w:r>
        <w:rPr>
          <w:rFonts w:hint="eastAsia" w:ascii="仿宋_GB2312" w:hAnsi="仿宋_GB2312" w:eastAsia="仿宋_GB2312" w:cs="仿宋_GB2312"/>
          <w:sz w:val="32"/>
          <w:szCs w:val="32"/>
        </w:rPr>
        <w:t>达标的企业亮“蓝牌”，对</w:t>
      </w:r>
      <w:r>
        <w:rPr>
          <w:rFonts w:hint="eastAsia" w:ascii="仿宋_GB2312" w:hAnsi="仿宋_GB2312" w:cs="仿宋_GB2312"/>
          <w:sz w:val="32"/>
          <w:szCs w:val="32"/>
          <w:lang w:val="en-US" w:eastAsia="zh-CN"/>
        </w:rPr>
        <w:t>2</w:t>
      </w:r>
      <w:r>
        <w:rPr>
          <w:rFonts w:hint="eastAsia" w:ascii="仿宋_GB2312" w:hAnsi="仿宋_GB2312" w:eastAsia="仿宋_GB2312" w:cs="仿宋_GB2312"/>
          <w:sz w:val="32"/>
          <w:szCs w:val="32"/>
        </w:rPr>
        <w:t>个评价指标中</w:t>
      </w:r>
      <w:r>
        <w:rPr>
          <w:rFonts w:hint="eastAsia" w:ascii="仿宋_GB2312" w:hAnsi="仿宋_GB2312" w:cs="仿宋_GB2312"/>
          <w:sz w:val="32"/>
          <w:szCs w:val="32"/>
          <w:lang w:val="en-US" w:eastAsia="zh-CN"/>
        </w:rPr>
        <w:t>1</w:t>
      </w:r>
      <w:r>
        <w:rPr>
          <w:rFonts w:hint="eastAsia" w:ascii="仿宋_GB2312" w:hAnsi="仿宋_GB2312" w:eastAsia="仿宋_GB2312" w:cs="仿宋_GB2312"/>
          <w:sz w:val="32"/>
          <w:szCs w:val="32"/>
        </w:rPr>
        <w:t>个及以上指标未达标的企业亮“黄牌”，对3次亮“黄牌”的企业升级为“红牌”。</w:t>
      </w:r>
    </w:p>
    <w:p>
      <w:pPr>
        <w:keepNext w:val="0"/>
        <w:keepLines w:val="0"/>
        <w:pageBreakBefore w:val="0"/>
        <w:kinsoku/>
        <w:wordWrap/>
        <w:overflowPunct/>
        <w:topLinePunct w:val="0"/>
        <w:autoSpaceDE/>
        <w:autoSpaceDN/>
        <w:bidi w:val="0"/>
        <w:spacing w:line="560" w:lineRule="exact"/>
        <w:ind w:firstLine="632" w:firstLineChars="200"/>
        <w:textAlignment w:val="auto"/>
        <w:rPr>
          <w:rFonts w:ascii="仿宋_GB2312" w:hAnsi="仿宋_GB2312" w:eastAsia="仿宋_GB2312" w:cs="仿宋_GB2312"/>
          <w:sz w:val="32"/>
          <w:szCs w:val="32"/>
        </w:rPr>
      </w:pPr>
      <w:r>
        <w:rPr>
          <w:rFonts w:hint="eastAsia" w:ascii="楷体_GB2312" w:hAnsi="楷体_GB2312" w:eastAsia="楷体_GB2312" w:cs="楷体_GB2312"/>
          <w:b/>
          <w:bCs/>
          <w:sz w:val="32"/>
          <w:szCs w:val="32"/>
        </w:rPr>
        <w:t>（一）对亮“蓝牌”的企业：</w:t>
      </w:r>
      <w:r>
        <w:rPr>
          <w:rFonts w:hint="eastAsia" w:ascii="仿宋_GB2312" w:hAnsi="仿宋_GB2312" w:eastAsia="仿宋_GB2312" w:cs="仿宋_GB2312"/>
          <w:sz w:val="32"/>
          <w:szCs w:val="32"/>
        </w:rPr>
        <w:t>对3次亮“蓝牌”的企业取消差别化电价，对4次亮“蓝牌”</w:t>
      </w:r>
      <w:r>
        <w:rPr>
          <w:rFonts w:hint="eastAsia" w:ascii="Times New Roman" w:hAnsi="Times New Roman" w:eastAsia="仿宋_GB2312" w:cs="仿宋_GB2312"/>
          <w:sz w:val="32"/>
          <w:szCs w:val="32"/>
        </w:rPr>
        <w:t>的企业在年度亩均综合评价中上浮一档。</w:t>
      </w:r>
    </w:p>
    <w:p>
      <w:pPr>
        <w:keepNext w:val="0"/>
        <w:keepLines w:val="0"/>
        <w:pageBreakBefore w:val="0"/>
        <w:kinsoku/>
        <w:wordWrap/>
        <w:overflowPunct/>
        <w:topLinePunct w:val="0"/>
        <w:autoSpaceDE/>
        <w:autoSpaceDN/>
        <w:bidi w:val="0"/>
        <w:spacing w:line="560" w:lineRule="exact"/>
        <w:ind w:firstLine="632" w:firstLineChars="200"/>
        <w:textAlignment w:val="auto"/>
        <w:rPr>
          <w:rFonts w:eastAsia="仿宋_GB2312"/>
          <w:sz w:val="32"/>
          <w:szCs w:val="32"/>
        </w:rPr>
      </w:pPr>
      <w:r>
        <w:rPr>
          <w:rFonts w:hint="eastAsia" w:ascii="楷体_GB2312" w:hAnsi="楷体_GB2312" w:eastAsia="楷体_GB2312" w:cs="楷体_GB2312"/>
          <w:b/>
          <w:bCs/>
          <w:sz w:val="32"/>
          <w:szCs w:val="32"/>
        </w:rPr>
        <w:t>（二）对1次亮“黄牌”的企业：</w:t>
      </w:r>
      <w:r>
        <w:rPr>
          <w:rFonts w:eastAsia="仿宋_GB2312"/>
          <w:sz w:val="32"/>
          <w:szCs w:val="32"/>
        </w:rPr>
        <w:t>由属地政府向企业发放书面告知函，告知函中明确企业所在行业亩均税收、</w:t>
      </w:r>
      <w:r>
        <w:rPr>
          <w:rFonts w:hint="eastAsia" w:ascii="仿宋_GB2312" w:hAnsi="仿宋_GB2312" w:eastAsia="仿宋_GB2312" w:cs="仿宋_GB2312"/>
          <w:sz w:val="32"/>
          <w:szCs w:val="32"/>
        </w:rPr>
        <w:t>单位</w:t>
      </w:r>
      <w:r>
        <w:rPr>
          <w:rFonts w:hint="eastAsia" w:ascii="仿宋_GB2312" w:hAnsi="仿宋_GB2312" w:cs="仿宋_GB2312"/>
          <w:sz w:val="32"/>
          <w:szCs w:val="32"/>
          <w:lang w:eastAsia="zh-CN"/>
        </w:rPr>
        <w:t>能耗税收</w:t>
      </w:r>
      <w:r>
        <w:rPr>
          <w:rFonts w:eastAsia="仿宋_GB2312"/>
          <w:sz w:val="32"/>
          <w:szCs w:val="32"/>
        </w:rPr>
        <w:t>的达标值，该</w:t>
      </w:r>
      <w:r>
        <w:rPr>
          <w:rFonts w:hint="eastAsia" w:ascii="仿宋_GB2312" w:hAnsi="仿宋_GB2312" w:eastAsia="仿宋_GB2312" w:cs="仿宋_GB2312"/>
          <w:sz w:val="32"/>
          <w:szCs w:val="32"/>
        </w:rPr>
        <w:t>企业与行业达标值的差距；在年度亩均综合评价中总得分下调10%。</w:t>
      </w:r>
    </w:p>
    <w:p>
      <w:pPr>
        <w:keepNext w:val="0"/>
        <w:keepLines w:val="0"/>
        <w:pageBreakBefore w:val="0"/>
        <w:kinsoku/>
        <w:wordWrap/>
        <w:overflowPunct/>
        <w:topLinePunct w:val="0"/>
        <w:autoSpaceDE/>
        <w:autoSpaceDN/>
        <w:bidi w:val="0"/>
        <w:spacing w:line="560" w:lineRule="exact"/>
        <w:ind w:firstLine="632" w:firstLineChars="200"/>
        <w:textAlignment w:val="auto"/>
        <w:rPr>
          <w:rFonts w:ascii="仿宋_GB2312" w:hAnsi="仿宋_GB2312" w:eastAsia="仿宋_GB2312" w:cs="仿宋_GB2312"/>
          <w:sz w:val="32"/>
          <w:szCs w:val="32"/>
        </w:rPr>
      </w:pPr>
      <w:r>
        <w:rPr>
          <w:rFonts w:hint="eastAsia" w:ascii="楷体_GB2312" w:hAnsi="楷体_GB2312" w:eastAsia="楷体_GB2312" w:cs="楷体_GB2312"/>
          <w:b/>
          <w:bCs/>
          <w:sz w:val="32"/>
          <w:szCs w:val="32"/>
        </w:rPr>
        <w:t>（三）对2次亮“黄牌”的企业：</w:t>
      </w:r>
      <w:r>
        <w:rPr>
          <w:rFonts w:eastAsia="仿宋_GB2312"/>
          <w:sz w:val="32"/>
          <w:szCs w:val="32"/>
        </w:rPr>
        <w:t>一是暂停土地等要素配置且不予入驻小微企业园和园区；二是组织住建、应急管理、市场监管、综合执法、消防、公安、自然资源和规划、税务、生态环境等部门对重点工作对象进行联合评估；三是</w:t>
      </w:r>
      <w:r>
        <w:rPr>
          <w:rFonts w:hint="eastAsia" w:eastAsia="仿宋_GB2312"/>
          <w:sz w:val="32"/>
          <w:szCs w:val="32"/>
        </w:rPr>
        <w:t>在年度亩均综合评价中总得分下</w:t>
      </w:r>
      <w:r>
        <w:rPr>
          <w:rFonts w:hint="eastAsia" w:ascii="仿宋_GB2312" w:hAnsi="仿宋_GB2312" w:eastAsia="仿宋_GB2312" w:cs="仿宋_GB2312"/>
          <w:sz w:val="32"/>
          <w:szCs w:val="32"/>
        </w:rPr>
        <w:t>调20%。</w:t>
      </w:r>
    </w:p>
    <w:p>
      <w:pPr>
        <w:keepNext w:val="0"/>
        <w:keepLines w:val="0"/>
        <w:pageBreakBefore w:val="0"/>
        <w:kinsoku/>
        <w:wordWrap/>
        <w:overflowPunct/>
        <w:topLinePunct w:val="0"/>
        <w:autoSpaceDE/>
        <w:autoSpaceDN/>
        <w:bidi w:val="0"/>
        <w:spacing w:line="560" w:lineRule="exact"/>
        <w:ind w:firstLine="632" w:firstLineChars="200"/>
        <w:textAlignment w:val="auto"/>
        <w:rPr>
          <w:rFonts w:ascii="仿宋_GB2312" w:hAnsi="仿宋_GB2312" w:eastAsia="仿宋_GB2312" w:cs="仿宋_GB2312"/>
          <w:sz w:val="32"/>
          <w:szCs w:val="32"/>
        </w:rPr>
      </w:pPr>
      <w:r>
        <w:rPr>
          <w:rFonts w:hint="eastAsia" w:ascii="楷体_GB2312" w:hAnsi="楷体_GB2312" w:eastAsia="楷体_GB2312" w:cs="楷体_GB2312"/>
          <w:b/>
          <w:bCs/>
          <w:sz w:val="32"/>
          <w:szCs w:val="32"/>
        </w:rPr>
        <w:t>（四）对亮“红牌”的企业：</w:t>
      </w:r>
      <w:r>
        <w:rPr>
          <w:rFonts w:eastAsia="仿宋_GB2312"/>
          <w:sz w:val="32"/>
          <w:szCs w:val="32"/>
        </w:rPr>
        <w:t>一是两年内暂停土地等要素配置且不予入驻小微企业园和园区；二是组织住建、应急管理、市场监管、综合执法、消防、公安、自然资源和规划、</w:t>
      </w:r>
      <w:r>
        <w:rPr>
          <w:rFonts w:hint="eastAsia" w:ascii="仿宋_GB2312" w:hAnsi="仿宋_GB2312" w:eastAsia="仿宋_GB2312" w:cs="仿宋_GB2312"/>
          <w:sz w:val="32"/>
          <w:szCs w:val="32"/>
        </w:rPr>
        <w:t>税务、生态环境等部门对重点工作对象进行联合评估和联合执法；三是亮1次“红牌”的在年度亩均综合评价中总得分下调30%，亮2次“红牌”的在年度亩均综合评价中总得分下调40%。</w:t>
      </w:r>
    </w:p>
    <w:p>
      <w:pPr>
        <w:pStyle w:val="3"/>
        <w:ind w:firstLine="640"/>
        <w:rPr>
          <w:rFonts w:hint="default"/>
          <w:lang w:val="en-US" w:eastAsia="zh-CN"/>
        </w:rPr>
      </w:pPr>
    </w:p>
    <w:sectPr>
      <w:pgSz w:w="11907" w:h="16840"/>
      <w:pgMar w:top="1440" w:right="1800" w:bottom="1440" w:left="1800" w:header="851" w:footer="1247" w:gutter="0"/>
      <w:pgNumType w:fmt="numberInDash"/>
      <w:cols w:space="720" w:num="1"/>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roman"/>
    <w:pitch w:val="default"/>
    <w:sig w:usb0="E0002AFF" w:usb1="C0007843"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美黑简体">
    <w:panose1 w:val="02010601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hint="eastAsia"/>
        <w:sz w:val="24"/>
        <w:szCs w:val="24"/>
      </w:rPr>
    </w:pPr>
    <w:r>
      <w:rPr>
        <w:sz w:val="24"/>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snapToGrid w:val="0"/>
                            <w:rPr>
                              <w:rFonts w:hint="eastAsia" w:eastAsia="仿宋_GB2312"/>
                              <w:sz w:val="18"/>
                              <w:lang w:eastAsia="zh-CN"/>
                            </w:rPr>
                          </w:pPr>
                          <w:r>
                            <w:rPr>
                              <w:rFonts w:hint="eastAsia" w:ascii="宋体" w:hAnsi="宋体" w:eastAsia="宋体" w:cs="宋体"/>
                              <w:sz w:val="32"/>
                              <w:szCs w:val="32"/>
                              <w:lang w:eastAsia="zh-CN"/>
                            </w:rPr>
                            <w:fldChar w:fldCharType="begin"/>
                          </w:r>
                          <w:r>
                            <w:rPr>
                              <w:rFonts w:hint="eastAsia" w:ascii="宋体" w:hAnsi="宋体" w:eastAsia="宋体" w:cs="宋体"/>
                              <w:sz w:val="32"/>
                              <w:szCs w:val="32"/>
                              <w:lang w:eastAsia="zh-CN"/>
                            </w:rPr>
                            <w:instrText xml:space="preserve"> PAGE  \* MERGEFORMAT </w:instrText>
                          </w:r>
                          <w:r>
                            <w:rPr>
                              <w:rFonts w:hint="eastAsia" w:ascii="宋体" w:hAnsi="宋体" w:eastAsia="宋体" w:cs="宋体"/>
                              <w:sz w:val="32"/>
                              <w:szCs w:val="32"/>
                              <w:lang w:eastAsia="zh-CN"/>
                            </w:rPr>
                            <w:fldChar w:fldCharType="separate"/>
                          </w:r>
                          <w:r>
                            <w:rPr>
                              <w:rFonts w:hint="eastAsia" w:ascii="宋体" w:hAnsi="宋体" w:eastAsia="宋体" w:cs="宋体"/>
                              <w:sz w:val="32"/>
                              <w:szCs w:val="32"/>
                              <w:lang w:eastAsia="zh-CN"/>
                            </w:rPr>
                            <w:t>1</w:t>
                          </w:r>
                          <w:r>
                            <w:rPr>
                              <w:rFonts w:hint="eastAsia" w:ascii="宋体" w:hAnsi="宋体" w:eastAsia="宋体" w:cs="宋体"/>
                              <w:sz w:val="32"/>
                              <w:szCs w:val="32"/>
                              <w:lang w:eastAsia="zh-CN"/>
                            </w:rPr>
                            <w:fldChar w:fldCharType="end"/>
                          </w:r>
                        </w:p>
                      </w:txbxContent>
                    </wps:txbx>
                    <wps:bodyPr vert="horz" wrap="none" lIns="0" tIns="0" rIns="0" bIns="0" anchor="t" upright="0">
                      <a:spAutoFit/>
                    </wps:bodyPr>
                  </wps:wsp>
                </a:graphicData>
              </a:graphic>
            </wp:anchor>
          </w:drawing>
        </mc:Choice>
        <mc:Fallback>
          <w:pict>
            <v:rect id="文本框 1"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EySV/7SAQAAngMAAA4AAABkcnMvZTJvRG9jLnhtbK1TzY7TMBC+I/EO&#10;lu80aYWgRE1XSNUiJAQrLTyA6ziNJf9pxm1SHgDegBMX7jxXn4Oxk3TRctkDF2fGY3/zfZ8nm5vB&#10;GnZSgNq7mi8XJWfKSd9od6j5l8+3L9acYRSuEcY7VfOzQn6zff5s04dKrXznTaOAEYjDqg8172IM&#10;VVGg7JQVuPBBOSq2HqyIlMKhaED0hG5NsSrLV0XvoQngpUKk3d1Y5BMiPAXQt62Waufl0SoXR1RQ&#10;RkSShJ0OyLeZbdsqGT+1LarITM1JacwrNaF4n9ZiuxHVAUTotJwoiKdQeKTJCu2o6RVqJ6JgR9D/&#10;QFktwaNv40J6W4xCsiOkYlk+8ua+E0FlLWQ1hqvp+P9g5cfTHTDd1Pxl+eY1Z05YevPLj++Xn78v&#10;v76xZXKoD1jRwftwB1OGFCa5Qws2fUkIG7Kr56uraohM0uZyvVqvSzJcUm1OCKd4uB4A4zvlLUtB&#10;zYGeLbspTh8wjkfnI6mbcWl1/lYbM1bTTpFojsRSFIf9MLHd++ZMKmnoCbzz8JWznp685o4mnDPz&#10;3pGjaTrmAOZgPwfCSbpY88jZMYA+dHmSEg0Mb4+RqGSeqfHYbeJDz5aVTiOW5uLvPJ96+K22fw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5dblS0AAAAAUBAAAPAAAAAAAAAAEAIAAAACIAAABkcnMv&#10;ZG93bnJldi54bWxQSwECFAAUAAAACACHTuJATJJX/tIBAACeAwAADgAAAAAAAAABACAAAAAfAQAA&#10;ZHJzL2Uyb0RvYy54bWxQSwUGAAAAAAYABgBZAQAAYwUAAAAA&#10;">
              <v:fill on="f" focussize="0,0"/>
              <v:stroke on="f"/>
              <v:imagedata o:title=""/>
              <o:lock v:ext="edit" aspectratio="f"/>
              <v:textbox inset="0mm,0mm,0mm,0mm" style="mso-fit-shape-to-text:t;">
                <w:txbxContent>
                  <w:p>
                    <w:pPr>
                      <w:snapToGrid w:val="0"/>
                      <w:rPr>
                        <w:rFonts w:hint="eastAsia" w:eastAsia="仿宋_GB2312"/>
                        <w:sz w:val="18"/>
                        <w:lang w:eastAsia="zh-CN"/>
                      </w:rPr>
                    </w:pPr>
                    <w:r>
                      <w:rPr>
                        <w:rFonts w:hint="eastAsia" w:ascii="宋体" w:hAnsi="宋体" w:eastAsia="宋体" w:cs="宋体"/>
                        <w:sz w:val="32"/>
                        <w:szCs w:val="32"/>
                        <w:lang w:eastAsia="zh-CN"/>
                      </w:rPr>
                      <w:fldChar w:fldCharType="begin"/>
                    </w:r>
                    <w:r>
                      <w:rPr>
                        <w:rFonts w:hint="eastAsia" w:ascii="宋体" w:hAnsi="宋体" w:eastAsia="宋体" w:cs="宋体"/>
                        <w:sz w:val="32"/>
                        <w:szCs w:val="32"/>
                        <w:lang w:eastAsia="zh-CN"/>
                      </w:rPr>
                      <w:instrText xml:space="preserve"> PAGE  \* MERGEFORMAT </w:instrText>
                    </w:r>
                    <w:r>
                      <w:rPr>
                        <w:rFonts w:hint="eastAsia" w:ascii="宋体" w:hAnsi="宋体" w:eastAsia="宋体" w:cs="宋体"/>
                        <w:sz w:val="32"/>
                        <w:szCs w:val="32"/>
                        <w:lang w:eastAsia="zh-CN"/>
                      </w:rPr>
                      <w:fldChar w:fldCharType="separate"/>
                    </w:r>
                    <w:r>
                      <w:rPr>
                        <w:rFonts w:hint="eastAsia" w:ascii="宋体" w:hAnsi="宋体" w:eastAsia="宋体" w:cs="宋体"/>
                        <w:sz w:val="32"/>
                        <w:szCs w:val="32"/>
                        <w:lang w:eastAsia="zh-CN"/>
                      </w:rPr>
                      <w:t>1</w:t>
                    </w:r>
                    <w:r>
                      <w:rPr>
                        <w:rFonts w:hint="eastAsia" w:ascii="宋体" w:hAnsi="宋体" w:eastAsia="宋体" w:cs="宋体"/>
                        <w:sz w:val="32"/>
                        <w:szCs w:val="32"/>
                        <w:lang w:eastAsia="zh-CN"/>
                      </w:rPr>
                      <w:fldChar w:fldCharType="end"/>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rPr>
        <w:rFonts w:hint="eastAsia"/>
        <w:sz w:val="28"/>
      </w:rPr>
    </w:pPr>
    <w:r>
      <w:rPr>
        <w:rFonts w:hint="eastAsia"/>
        <w:sz w:val="28"/>
      </w:rPr>
      <w:t xml:space="preserve">— </w:t>
    </w:r>
    <w:r>
      <w:rPr>
        <w:sz w:val="28"/>
      </w:rPr>
      <w:fldChar w:fldCharType="begin"/>
    </w:r>
    <w:r>
      <w:rPr>
        <w:rStyle w:val="16"/>
        <w:sz w:val="28"/>
      </w:rPr>
      <w:instrText xml:space="preserve"> PAGE </w:instrText>
    </w:r>
    <w:r>
      <w:rPr>
        <w:sz w:val="28"/>
      </w:rPr>
      <w:fldChar w:fldCharType="separate"/>
    </w:r>
    <w:r>
      <w:rPr>
        <w:rStyle w:val="16"/>
        <w:sz w:val="28"/>
      </w:rPr>
      <w:t>2</w:t>
    </w:r>
    <w:r>
      <w:rPr>
        <w:sz w:val="28"/>
      </w:rPr>
      <w:fldChar w:fldCharType="end"/>
    </w:r>
    <w:r>
      <w:rPr>
        <w:rFonts w:hint="eastAsia"/>
        <w:sz w:val="28"/>
      </w:rPr>
      <w:t>—</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M5MWUxMDkwNDBmMTdmMTVlZGUyZDM4NGI2ZjZjZDAifQ=="/>
  </w:docVars>
  <w:rsids>
    <w:rsidRoot w:val="00000000"/>
    <w:rsid w:val="004A2AA5"/>
    <w:rsid w:val="008B018D"/>
    <w:rsid w:val="00B655FE"/>
    <w:rsid w:val="015C6CBC"/>
    <w:rsid w:val="032430FD"/>
    <w:rsid w:val="03456EEA"/>
    <w:rsid w:val="03CA629A"/>
    <w:rsid w:val="04FC5FF9"/>
    <w:rsid w:val="052B23C9"/>
    <w:rsid w:val="055558AB"/>
    <w:rsid w:val="058C2C1A"/>
    <w:rsid w:val="07F37DF4"/>
    <w:rsid w:val="088C1F29"/>
    <w:rsid w:val="09180073"/>
    <w:rsid w:val="097B4FEC"/>
    <w:rsid w:val="09F043BE"/>
    <w:rsid w:val="0ACF7E52"/>
    <w:rsid w:val="0BFA9056"/>
    <w:rsid w:val="0C1D3D6E"/>
    <w:rsid w:val="0C3C5A14"/>
    <w:rsid w:val="0C4130C6"/>
    <w:rsid w:val="0CE95936"/>
    <w:rsid w:val="0D095F71"/>
    <w:rsid w:val="0DFF4E34"/>
    <w:rsid w:val="0E03763D"/>
    <w:rsid w:val="0EE335B2"/>
    <w:rsid w:val="0F003784"/>
    <w:rsid w:val="0F355994"/>
    <w:rsid w:val="0F52723A"/>
    <w:rsid w:val="101845D9"/>
    <w:rsid w:val="11BE71C3"/>
    <w:rsid w:val="13B0740E"/>
    <w:rsid w:val="1419218B"/>
    <w:rsid w:val="14416C65"/>
    <w:rsid w:val="14EB1960"/>
    <w:rsid w:val="156E98B1"/>
    <w:rsid w:val="164155DC"/>
    <w:rsid w:val="1685219A"/>
    <w:rsid w:val="170B73A9"/>
    <w:rsid w:val="17601221"/>
    <w:rsid w:val="189D5A8C"/>
    <w:rsid w:val="18FF6592"/>
    <w:rsid w:val="195E3404"/>
    <w:rsid w:val="1A945EC5"/>
    <w:rsid w:val="1A9A02C1"/>
    <w:rsid w:val="1B53566E"/>
    <w:rsid w:val="1B6853C2"/>
    <w:rsid w:val="1B96646A"/>
    <w:rsid w:val="1BB4EEFC"/>
    <w:rsid w:val="1C964C9E"/>
    <w:rsid w:val="1D916FDE"/>
    <w:rsid w:val="1DCA4BB5"/>
    <w:rsid w:val="1E646B87"/>
    <w:rsid w:val="1E703E99"/>
    <w:rsid w:val="1EC45B21"/>
    <w:rsid w:val="1F472471"/>
    <w:rsid w:val="1F5738CF"/>
    <w:rsid w:val="1F673B1F"/>
    <w:rsid w:val="20577142"/>
    <w:rsid w:val="205C7338"/>
    <w:rsid w:val="20842760"/>
    <w:rsid w:val="20F1336F"/>
    <w:rsid w:val="218D48F0"/>
    <w:rsid w:val="22601E57"/>
    <w:rsid w:val="22F60FA4"/>
    <w:rsid w:val="23367941"/>
    <w:rsid w:val="2363090E"/>
    <w:rsid w:val="245F7661"/>
    <w:rsid w:val="24755F62"/>
    <w:rsid w:val="247F427D"/>
    <w:rsid w:val="258C57DB"/>
    <w:rsid w:val="26B9798B"/>
    <w:rsid w:val="275B06AF"/>
    <w:rsid w:val="28157BF9"/>
    <w:rsid w:val="28165542"/>
    <w:rsid w:val="28867A0E"/>
    <w:rsid w:val="29061776"/>
    <w:rsid w:val="294A6453"/>
    <w:rsid w:val="29CE284D"/>
    <w:rsid w:val="29ED8CB9"/>
    <w:rsid w:val="29F74DAA"/>
    <w:rsid w:val="2AD30D3A"/>
    <w:rsid w:val="2B05199B"/>
    <w:rsid w:val="2B1240B8"/>
    <w:rsid w:val="2B4324C3"/>
    <w:rsid w:val="2B7B4862"/>
    <w:rsid w:val="2BC26BE9"/>
    <w:rsid w:val="2BED6578"/>
    <w:rsid w:val="2BF130E1"/>
    <w:rsid w:val="2C012EC5"/>
    <w:rsid w:val="2DD00717"/>
    <w:rsid w:val="2F0C4875"/>
    <w:rsid w:val="2FBF1FB1"/>
    <w:rsid w:val="2FF07B91"/>
    <w:rsid w:val="2FFDA19D"/>
    <w:rsid w:val="2FFF14E3"/>
    <w:rsid w:val="300B4886"/>
    <w:rsid w:val="30364185"/>
    <w:rsid w:val="30F95B62"/>
    <w:rsid w:val="310C5C3D"/>
    <w:rsid w:val="312C32CD"/>
    <w:rsid w:val="31442654"/>
    <w:rsid w:val="31F3122B"/>
    <w:rsid w:val="32632F2A"/>
    <w:rsid w:val="32BB5035"/>
    <w:rsid w:val="32F1573E"/>
    <w:rsid w:val="331A13C1"/>
    <w:rsid w:val="337649DE"/>
    <w:rsid w:val="33A1562F"/>
    <w:rsid w:val="34435D58"/>
    <w:rsid w:val="34A012A4"/>
    <w:rsid w:val="34AD1605"/>
    <w:rsid w:val="354C78FE"/>
    <w:rsid w:val="35BB3C99"/>
    <w:rsid w:val="35D022B5"/>
    <w:rsid w:val="363C02BB"/>
    <w:rsid w:val="36527DAB"/>
    <w:rsid w:val="367348CA"/>
    <w:rsid w:val="37BF7317"/>
    <w:rsid w:val="385151D5"/>
    <w:rsid w:val="38790B91"/>
    <w:rsid w:val="38AA16E4"/>
    <w:rsid w:val="38F64EF6"/>
    <w:rsid w:val="38FF2E4C"/>
    <w:rsid w:val="39484560"/>
    <w:rsid w:val="394C053A"/>
    <w:rsid w:val="397F6DBC"/>
    <w:rsid w:val="39C71413"/>
    <w:rsid w:val="3A122EC0"/>
    <w:rsid w:val="3A410104"/>
    <w:rsid w:val="3C04416B"/>
    <w:rsid w:val="3CBB635D"/>
    <w:rsid w:val="3CBBCF99"/>
    <w:rsid w:val="3CC52103"/>
    <w:rsid w:val="3CFB276B"/>
    <w:rsid w:val="3D1E069A"/>
    <w:rsid w:val="3D3F3CAC"/>
    <w:rsid w:val="3D4905C9"/>
    <w:rsid w:val="3DFF8615"/>
    <w:rsid w:val="3E542496"/>
    <w:rsid w:val="3E7FC7AB"/>
    <w:rsid w:val="3F782BFA"/>
    <w:rsid w:val="3FC54215"/>
    <w:rsid w:val="3FCD87D5"/>
    <w:rsid w:val="406454E4"/>
    <w:rsid w:val="40B8312E"/>
    <w:rsid w:val="40F16627"/>
    <w:rsid w:val="41F6081C"/>
    <w:rsid w:val="42146301"/>
    <w:rsid w:val="42377906"/>
    <w:rsid w:val="42505880"/>
    <w:rsid w:val="43AF0E90"/>
    <w:rsid w:val="45423E2F"/>
    <w:rsid w:val="45587951"/>
    <w:rsid w:val="45F95244"/>
    <w:rsid w:val="46B300A5"/>
    <w:rsid w:val="46E63B51"/>
    <w:rsid w:val="47F71236"/>
    <w:rsid w:val="48A86514"/>
    <w:rsid w:val="48E7756C"/>
    <w:rsid w:val="49EB0DB0"/>
    <w:rsid w:val="4A00784A"/>
    <w:rsid w:val="4A1452FF"/>
    <w:rsid w:val="4B8670B7"/>
    <w:rsid w:val="4CC367BE"/>
    <w:rsid w:val="4D3609B1"/>
    <w:rsid w:val="4E794BA1"/>
    <w:rsid w:val="4FB04055"/>
    <w:rsid w:val="4FFC254D"/>
    <w:rsid w:val="513057B7"/>
    <w:rsid w:val="516A1470"/>
    <w:rsid w:val="5233681F"/>
    <w:rsid w:val="524505FD"/>
    <w:rsid w:val="52772282"/>
    <w:rsid w:val="53061C48"/>
    <w:rsid w:val="539A65DA"/>
    <w:rsid w:val="53F16A35"/>
    <w:rsid w:val="545874E9"/>
    <w:rsid w:val="55057BD4"/>
    <w:rsid w:val="553D3C2A"/>
    <w:rsid w:val="55441083"/>
    <w:rsid w:val="55AA74AC"/>
    <w:rsid w:val="56BDE065"/>
    <w:rsid w:val="58621431"/>
    <w:rsid w:val="58FD63CB"/>
    <w:rsid w:val="5A1D4B1B"/>
    <w:rsid w:val="5A4D33D8"/>
    <w:rsid w:val="5AC95C92"/>
    <w:rsid w:val="5BF78EC0"/>
    <w:rsid w:val="5C882465"/>
    <w:rsid w:val="5D3A654F"/>
    <w:rsid w:val="5D4355B7"/>
    <w:rsid w:val="5E227B93"/>
    <w:rsid w:val="5E2721D0"/>
    <w:rsid w:val="5E7A77C6"/>
    <w:rsid w:val="5E7E023F"/>
    <w:rsid w:val="5EC56599"/>
    <w:rsid w:val="5EF64405"/>
    <w:rsid w:val="601B3B1B"/>
    <w:rsid w:val="60291834"/>
    <w:rsid w:val="6056127E"/>
    <w:rsid w:val="60917CBF"/>
    <w:rsid w:val="609C372E"/>
    <w:rsid w:val="611C22C4"/>
    <w:rsid w:val="61924FDD"/>
    <w:rsid w:val="63821F51"/>
    <w:rsid w:val="641F4AE3"/>
    <w:rsid w:val="64A7745F"/>
    <w:rsid w:val="65F5B63C"/>
    <w:rsid w:val="66637F22"/>
    <w:rsid w:val="67003599"/>
    <w:rsid w:val="677A16F2"/>
    <w:rsid w:val="67DC795A"/>
    <w:rsid w:val="67F05745"/>
    <w:rsid w:val="67FB3971"/>
    <w:rsid w:val="68320103"/>
    <w:rsid w:val="6901244E"/>
    <w:rsid w:val="69144B11"/>
    <w:rsid w:val="69F1DC0F"/>
    <w:rsid w:val="6A402159"/>
    <w:rsid w:val="6A537D8A"/>
    <w:rsid w:val="6A5F49C5"/>
    <w:rsid w:val="6ADE16B1"/>
    <w:rsid w:val="6AE17E32"/>
    <w:rsid w:val="6BB334E4"/>
    <w:rsid w:val="6C89037B"/>
    <w:rsid w:val="6CAB51F7"/>
    <w:rsid w:val="6CB8187E"/>
    <w:rsid w:val="6CBD110B"/>
    <w:rsid w:val="6CF87CEE"/>
    <w:rsid w:val="6D3D59BC"/>
    <w:rsid w:val="6D7C6154"/>
    <w:rsid w:val="6D7DF7A3"/>
    <w:rsid w:val="6DB505FE"/>
    <w:rsid w:val="6DC8BFF6"/>
    <w:rsid w:val="6DD01EE0"/>
    <w:rsid w:val="6ED07B5B"/>
    <w:rsid w:val="6F0A7945"/>
    <w:rsid w:val="6F395AEE"/>
    <w:rsid w:val="6F6FCC9A"/>
    <w:rsid w:val="6F835AF3"/>
    <w:rsid w:val="6F975023"/>
    <w:rsid w:val="6FC7C27C"/>
    <w:rsid w:val="6FFAB712"/>
    <w:rsid w:val="6FFF98C5"/>
    <w:rsid w:val="70D23484"/>
    <w:rsid w:val="71791D68"/>
    <w:rsid w:val="724077E8"/>
    <w:rsid w:val="727D5888"/>
    <w:rsid w:val="72D76035"/>
    <w:rsid w:val="737B7735"/>
    <w:rsid w:val="73B41CF1"/>
    <w:rsid w:val="75485B78"/>
    <w:rsid w:val="758B0767"/>
    <w:rsid w:val="75992058"/>
    <w:rsid w:val="76534CE0"/>
    <w:rsid w:val="76D813F7"/>
    <w:rsid w:val="76FE5718"/>
    <w:rsid w:val="774839C2"/>
    <w:rsid w:val="77973E55"/>
    <w:rsid w:val="77B238DE"/>
    <w:rsid w:val="77DFF6FB"/>
    <w:rsid w:val="77F255BC"/>
    <w:rsid w:val="78245AFE"/>
    <w:rsid w:val="787D639A"/>
    <w:rsid w:val="78CE3D40"/>
    <w:rsid w:val="78DD5507"/>
    <w:rsid w:val="794F3D9B"/>
    <w:rsid w:val="799C3FD1"/>
    <w:rsid w:val="79E955B1"/>
    <w:rsid w:val="7A7E1F85"/>
    <w:rsid w:val="7AB8534E"/>
    <w:rsid w:val="7ADB139D"/>
    <w:rsid w:val="7BCB3528"/>
    <w:rsid w:val="7BEEB931"/>
    <w:rsid w:val="7BF74F02"/>
    <w:rsid w:val="7CB81383"/>
    <w:rsid w:val="7CCFCCAC"/>
    <w:rsid w:val="7CD617F8"/>
    <w:rsid w:val="7D194E9F"/>
    <w:rsid w:val="7D9B3B47"/>
    <w:rsid w:val="7DB779EE"/>
    <w:rsid w:val="7DBF4052"/>
    <w:rsid w:val="7DFFE6E2"/>
    <w:rsid w:val="7E123B0F"/>
    <w:rsid w:val="7E7E1782"/>
    <w:rsid w:val="7EBAA9E8"/>
    <w:rsid w:val="7EDBD3E5"/>
    <w:rsid w:val="7EDFA695"/>
    <w:rsid w:val="7EFF5DEB"/>
    <w:rsid w:val="7EFFD830"/>
    <w:rsid w:val="7F457C02"/>
    <w:rsid w:val="7F471B1D"/>
    <w:rsid w:val="7F5B95EF"/>
    <w:rsid w:val="7F7A7716"/>
    <w:rsid w:val="7FD672C9"/>
    <w:rsid w:val="7FDFFC87"/>
    <w:rsid w:val="7FE33042"/>
    <w:rsid w:val="7FE9CE4C"/>
    <w:rsid w:val="7FFF1D42"/>
    <w:rsid w:val="7FFFC65A"/>
    <w:rsid w:val="7FFFF20E"/>
    <w:rsid w:val="867FAA2C"/>
    <w:rsid w:val="8FF51D4B"/>
    <w:rsid w:val="97BB18FA"/>
    <w:rsid w:val="9DBD3963"/>
    <w:rsid w:val="9E771B55"/>
    <w:rsid w:val="9FAD7B3C"/>
    <w:rsid w:val="AA7D0127"/>
    <w:rsid w:val="ADBF96CC"/>
    <w:rsid w:val="AFEB1765"/>
    <w:rsid w:val="B1FEA1B8"/>
    <w:rsid w:val="B76E8FF2"/>
    <w:rsid w:val="B8F5154C"/>
    <w:rsid w:val="BB773D8B"/>
    <w:rsid w:val="BDC751A3"/>
    <w:rsid w:val="BEDAACA2"/>
    <w:rsid w:val="C9D77DA1"/>
    <w:rsid w:val="CEF33EEF"/>
    <w:rsid w:val="CFE9A91E"/>
    <w:rsid w:val="CFFF5E64"/>
    <w:rsid w:val="D7BE8315"/>
    <w:rsid w:val="D9DFD8D1"/>
    <w:rsid w:val="DF357009"/>
    <w:rsid w:val="DFBF5B74"/>
    <w:rsid w:val="DFD710C9"/>
    <w:rsid w:val="DFDBA58E"/>
    <w:rsid w:val="E3EFE397"/>
    <w:rsid w:val="E656A8E2"/>
    <w:rsid w:val="E65F1956"/>
    <w:rsid w:val="ED9B9544"/>
    <w:rsid w:val="EDFE2E6E"/>
    <w:rsid w:val="EFFA77B2"/>
    <w:rsid w:val="F47F3A4E"/>
    <w:rsid w:val="F7DD503E"/>
    <w:rsid w:val="F9EE3CB5"/>
    <w:rsid w:val="F9FBEF42"/>
    <w:rsid w:val="FB7D8A05"/>
    <w:rsid w:val="FBFBBAD7"/>
    <w:rsid w:val="FD2F8C5A"/>
    <w:rsid w:val="FEC96C60"/>
    <w:rsid w:val="FF730FD4"/>
    <w:rsid w:val="FFABC2C2"/>
    <w:rsid w:val="FFD376D3"/>
    <w:rsid w:val="FFD9CCE0"/>
    <w:rsid w:val="FFDFA727"/>
    <w:rsid w:val="FFE48F19"/>
    <w:rsid w:val="FFFB01B8"/>
    <w:rsid w:val="FFFB49D8"/>
    <w:rsid w:val="FFFF6334"/>
    <w:rsid w:val="FFFFAD51"/>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qFormat="1"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4">
    <w:name w:val="heading 2"/>
    <w:basedOn w:val="1"/>
    <w:next w:val="1"/>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14">
    <w:name w:val="Default Paragraph Font"/>
    <w:qFormat/>
    <w:uiPriority w:val="0"/>
  </w:style>
  <w:style w:type="table" w:default="1" w:styleId="13">
    <w:name w:val="Normal Table"/>
    <w:qFormat/>
    <w:uiPriority w:val="0"/>
    <w:tblPr>
      <w:tblCellMar>
        <w:top w:w="0" w:type="dxa"/>
        <w:left w:w="108" w:type="dxa"/>
        <w:bottom w:w="0" w:type="dxa"/>
        <w:right w:w="108" w:type="dxa"/>
      </w:tblCellMar>
    </w:tblPr>
  </w:style>
  <w:style w:type="paragraph" w:styleId="2">
    <w:name w:val="Body Text"/>
    <w:basedOn w:val="1"/>
    <w:next w:val="3"/>
    <w:qFormat/>
    <w:uiPriority w:val="0"/>
    <w:pPr>
      <w:jc w:val="center"/>
    </w:pPr>
    <w:rPr>
      <w:rFonts w:ascii="Times New Roman" w:hAnsi="Times New Roman" w:eastAsia="方正美黑简体" w:cs="Times New Roman"/>
      <w:sz w:val="67"/>
    </w:rPr>
  </w:style>
  <w:style w:type="paragraph" w:styleId="3">
    <w:name w:val="Body Text 2"/>
    <w:basedOn w:val="1"/>
    <w:qFormat/>
    <w:uiPriority w:val="0"/>
    <w:pPr>
      <w:spacing w:after="120" w:line="480" w:lineRule="auto"/>
    </w:pPr>
  </w:style>
  <w:style w:type="paragraph" w:styleId="5">
    <w:name w:val="Normal Indent"/>
    <w:basedOn w:val="1"/>
    <w:next w:val="6"/>
    <w:qFormat/>
    <w:uiPriority w:val="0"/>
    <w:pPr>
      <w:widowControl w:val="0"/>
      <w:ind w:firstLine="200" w:firstLineChars="200"/>
      <w:jc w:val="both"/>
    </w:pPr>
    <w:rPr>
      <w:rFonts w:ascii="Calibri" w:hAnsi="Calibri" w:eastAsia="宋体" w:cs="Times New Roman"/>
      <w:kern w:val="2"/>
      <w:sz w:val="21"/>
      <w:szCs w:val="22"/>
      <w:lang w:val="en-US" w:eastAsia="zh-CN" w:bidi="ar-SA"/>
    </w:rPr>
  </w:style>
  <w:style w:type="paragraph" w:styleId="6">
    <w:name w:val="Document Map"/>
    <w:basedOn w:val="1"/>
    <w:qFormat/>
    <w:uiPriority w:val="0"/>
    <w:pPr>
      <w:shd w:val="clear" w:color="auto" w:fill="000080"/>
    </w:pPr>
  </w:style>
  <w:style w:type="paragraph" w:styleId="7">
    <w:name w:val="annotation text"/>
    <w:basedOn w:val="1"/>
    <w:qFormat/>
    <w:uiPriority w:val="0"/>
    <w:pPr>
      <w:jc w:val="left"/>
    </w:pPr>
  </w:style>
  <w:style w:type="paragraph" w:styleId="8">
    <w:name w:val="Plain Text"/>
    <w:basedOn w:val="1"/>
    <w:qFormat/>
    <w:uiPriority w:val="0"/>
    <w:rPr>
      <w:rFonts w:ascii="宋体" w:hAnsi="Courier New" w:cs="Courier New"/>
      <w:szCs w:val="21"/>
    </w:rPr>
  </w:style>
  <w:style w:type="paragraph" w:styleId="9">
    <w:name w:val="footer"/>
    <w:basedOn w:val="1"/>
    <w:qFormat/>
    <w:uiPriority w:val="0"/>
    <w:pPr>
      <w:tabs>
        <w:tab w:val="center" w:pos="4153"/>
        <w:tab w:val="right" w:pos="8306"/>
      </w:tabs>
      <w:snapToGrid w:val="0"/>
      <w:jc w:val="left"/>
    </w:pPr>
    <w:rPr>
      <w:sz w:val="18"/>
      <w:szCs w:val="18"/>
    </w:rPr>
  </w:style>
  <w:style w:type="paragraph" w:styleId="10">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1">
    <w:name w:val="table of figures"/>
    <w:basedOn w:val="1"/>
    <w:next w:val="1"/>
    <w:qFormat/>
    <w:uiPriority w:val="0"/>
    <w:pPr>
      <w:ind w:left="200" w:leftChars="200" w:hanging="200" w:hangingChars="200"/>
    </w:pPr>
    <w:rPr>
      <w:szCs w:val="32"/>
    </w:rPr>
  </w:style>
  <w:style w:type="paragraph" w:styleId="12">
    <w:name w:val="Normal (Web)"/>
    <w:basedOn w:val="1"/>
    <w:qFormat/>
    <w:uiPriority w:val="0"/>
    <w:pPr>
      <w:widowControl/>
      <w:spacing w:before="100" w:beforeAutospacing="1" w:after="100" w:afterAutospacing="1"/>
      <w:jc w:val="left"/>
    </w:pPr>
    <w:rPr>
      <w:rFonts w:ascii="宋体" w:hAnsi="宋体" w:eastAsia="宋体" w:cs="Times New Roman"/>
      <w:kern w:val="0"/>
      <w:sz w:val="24"/>
      <w:szCs w:val="24"/>
    </w:rPr>
  </w:style>
  <w:style w:type="character" w:styleId="15">
    <w:name w:val="Strong"/>
    <w:basedOn w:val="14"/>
    <w:qFormat/>
    <w:uiPriority w:val="0"/>
    <w:rPr>
      <w:b/>
    </w:rPr>
  </w:style>
  <w:style w:type="character" w:styleId="16">
    <w:name w:val="page number"/>
    <w:basedOn w:val="14"/>
    <w:qFormat/>
    <w:uiPriority w:val="0"/>
  </w:style>
  <w:style w:type="character" w:customStyle="1" w:styleId="17">
    <w:name w:val="font01"/>
    <w:basedOn w:val="14"/>
    <w:qFormat/>
    <w:uiPriority w:val="0"/>
    <w:rPr>
      <w:rFonts w:hint="eastAsia" w:ascii="宋体" w:hAnsi="宋体" w:eastAsia="宋体" w:cs="宋体"/>
      <w:color w:val="000000"/>
      <w:sz w:val="22"/>
      <w:szCs w:val="22"/>
      <w:u w:val="none"/>
    </w:rPr>
  </w:style>
  <w:style w:type="character" w:customStyle="1" w:styleId="18">
    <w:name w:val="font11"/>
    <w:basedOn w:val="14"/>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4</Pages>
  <Words>1898</Words>
  <Characters>1998</Characters>
  <Paragraphs>39</Paragraphs>
  <TotalTime>2</TotalTime>
  <ScaleCrop>false</ScaleCrop>
  <LinksUpToDate>false</LinksUpToDate>
  <CharactersWithSpaces>1999</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2019-04-14T02:34:00Z</dcterms:created>
  <dc:creator>sy</dc:creator>
  <cp:lastModifiedBy>Administrator</cp:lastModifiedBy>
  <cp:lastPrinted>2023-07-09T23:45:00Z</cp:lastPrinted>
  <dcterms:modified xsi:type="dcterms:W3CDTF">2023-11-07T02:53:28Z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woTemplateTypoMode" linkTarget="0">
    <vt:lpwstr>web</vt:lpwstr>
  </property>
  <property fmtid="{D5CDD505-2E9C-101B-9397-08002B2CF9AE}" pid="4" name="woTemplate" linkTarget="0">
    <vt:i4>1</vt:i4>
  </property>
  <property fmtid="{D5CDD505-2E9C-101B-9397-08002B2CF9AE}" pid="5" name="ICV">
    <vt:lpwstr>11325DB860CB4A25B7795DAB15C3AAE9_13</vt:lpwstr>
  </property>
</Properties>
</file>