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金义新区科技服务中介机构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备案管理办法（试行）（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征求意见稿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为进一步加强对我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区科技服务中介机构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的管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理，规范服务行为，提升服务水平，促进中介机构规范运作，更好地服务于我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区科技型企业发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展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，根据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金义新区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《关于优化提升营商环境的18条意见》精神，特制定本办法。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本办法所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称科技服务中介机构（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以下简称中介机构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是指为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科技型企业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提供社会化、专业化服务以支撑和促进创新活动的机构，主要从事高新技术企业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科技型中小企业和企业研发机构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申报辅导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三、鼓励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中介机构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到区科技局进行备案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申请备案的中介机构需满足以下条件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从事高新技术企业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科技型中小企业和企业研发机构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申报辅导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材料编写业务的科技中介服务机构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拥有与开展业务相适应的场所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设施和资质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拥有一支结构合理、稳定的科技服务和管理队伍，专职从事材料申报人员不少于3人，有执业资格要求的需具有相应执业资格证书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每年集中办理一次备案工作，备案有效期为1年。中介机构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进行备案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提交的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材料包括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金义新区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科技中介服务机构备案申请表》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承诺书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企业统一社会信用代码证或营业执照复印件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企业法人身份证复印件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场地使用证明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自有或租赁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、单位资质证明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机构人员名册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姓名、居民身份证号、资格证书复印件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、人员学历证明、社保证明等复印件或签订劳动合同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中介机构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在金义新区服务的项目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清单及合同复印件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（近三年）；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收费标准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机构上一年度的年度财务审计报告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财务报表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、完税证明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中介机构工作业绩及获得的有关荣誉或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评价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六、集中备案后，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区科技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对中介机构填报的信息进行初审，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初审通过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应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向社会公示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公示期为5个工作日。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任何单位或个人对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初审通过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中介机构有异议的，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在公示期内向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提出。以单位名义提出异议的，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在异议材料上加盖单位公章，以个人名义提出异议的，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在异议材料上签署真实姓名。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中介机构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应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自觉接受社会监督，接受区科技部门管理，加强服务意识，要熟练掌握业务知识，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存在以下行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为的，将取消下一年度备案，并将以下行为进行公示：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中介机构更名、注册地更换、法人更换、经营业务变化、经营状况变动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如关闭、并购、重组等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等情况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未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报送相关信息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经催告后，1个月内仍未报送的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机构与企业签约后，不能按合同要求提供符合标准的服务，企业提出投诉，一经核实的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实际收费与备案收费标准不一致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当年度申报高新技术企业通过率低于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80%的；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无正当理由未指导企业报送相关数据、报表的；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提供虚假材料骗取备案的；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在服务过程中弄虚作假，不服从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区科技部门管理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九、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对于恶意串通、弄虚作假骗取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国家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资金的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中介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机构，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科技局将依法追回资金，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取消备案资格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基础上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构成违法犯罪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情节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报请司法机关追究法律责任。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本办法由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十一、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本办法自发布之日起试行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有效期一年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F4D5C"/>
    <w:multiLevelType w:val="singleLevel"/>
    <w:tmpl w:val="99FF4D5C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-10"/>
      </w:pPr>
      <w:rPr>
        <w:rFonts w:hint="eastAsia"/>
      </w:rPr>
    </w:lvl>
  </w:abstractNum>
  <w:abstractNum w:abstractNumId="1">
    <w:nsid w:val="FB2DFF71"/>
    <w:multiLevelType w:val="singleLevel"/>
    <w:tmpl w:val="FB2DFF71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WE1NjE3ZjE5OTdmMmFlYzE1MWJlNmMxMzZhOTMifQ=="/>
  </w:docVars>
  <w:rsids>
    <w:rsidRoot w:val="1AB17443"/>
    <w:rsid w:val="0146200C"/>
    <w:rsid w:val="028B5044"/>
    <w:rsid w:val="06CB49BC"/>
    <w:rsid w:val="07B93F84"/>
    <w:rsid w:val="190D27FC"/>
    <w:rsid w:val="1AB17443"/>
    <w:rsid w:val="283A2843"/>
    <w:rsid w:val="2E0E0EAD"/>
    <w:rsid w:val="2F954085"/>
    <w:rsid w:val="3791138C"/>
    <w:rsid w:val="58A84D5B"/>
    <w:rsid w:val="61736624"/>
    <w:rsid w:val="61C15499"/>
    <w:rsid w:val="6B4A70F9"/>
    <w:rsid w:val="7BF6B891"/>
    <w:rsid w:val="7C544D64"/>
    <w:rsid w:val="7E2F1111"/>
    <w:rsid w:val="7F186386"/>
    <w:rsid w:val="9BDF09C1"/>
    <w:rsid w:val="FFDFA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1187</Characters>
  <Lines>0</Lines>
  <Paragraphs>0</Paragraphs>
  <TotalTime>13</TotalTime>
  <ScaleCrop>false</ScaleCrop>
  <LinksUpToDate>false</LinksUpToDate>
  <CharactersWithSpaces>1193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2023-04-02T01:32:00Z</dcterms:created>
  <dc:creator>小丑鱼的海</dc:creator>
  <cp:lastModifiedBy>慵•懒</cp:lastModifiedBy>
  <cp:lastPrinted>2023-06-09T18:02:00Z</cp:lastPrinted>
  <dcterms:modified xsi:type="dcterms:W3CDTF">2023-06-12T08:43:17Z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F08CF930E41F42939A496E9B19BA3C9C_11</vt:lpwstr>
  </property>
</Properties>
</file>