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line="360" w:lineRule="auto"/>
        <w:textAlignment w:val="auto"/>
        <w:rPr>
          <w:rFonts w:hint="default" w:ascii="Times New Roman" w:hAnsi="Times New Roman" w:eastAsia="仿宋_GB2312" w:cs="Times New Roman"/>
          <w:b w:val="0"/>
          <w:bCs w:val="0"/>
          <w:i w:val="0"/>
          <w:caps w:val="0"/>
          <w:color w:val="171A1D"/>
          <w:spacing w:val="0"/>
          <w:kern w:val="0"/>
          <w:sz w:val="32"/>
          <w:szCs w:val="32"/>
          <w:shd w:val="clear" w:color="auto" w:fill="FFFFFF"/>
          <w:lang w:val="en-US" w:eastAsia="zh-CN" w:bidi="ar"/>
        </w:rPr>
      </w:pPr>
      <w:r>
        <w:rPr>
          <w:rFonts w:hint="eastAsia" w:ascii="黑体" w:hAnsi="黑体" w:eastAsia="黑体" w:cs="黑体"/>
          <w:b w:val="0"/>
          <w:bCs w:val="0"/>
          <w:i w:val="0"/>
          <w:caps w:val="0"/>
          <w:color w:val="171A1D"/>
          <w:spacing w:val="0"/>
          <w:kern w:val="0"/>
          <w:sz w:val="32"/>
          <w:szCs w:val="32"/>
          <w:shd w:val="clear" w:color="auto" w:fill="FFFFFF"/>
          <w:lang w:val="en-US" w:eastAsia="zh-CN" w:bidi="ar"/>
        </w:rPr>
        <w:t>附件1</w:t>
      </w:r>
    </w:p>
    <w:p>
      <w:pPr>
        <w:keepLines w:val="0"/>
        <w:widowControl/>
        <w:kinsoku/>
        <w:wordWrap/>
        <w:overflowPunct/>
        <w:topLinePunct w:val="0"/>
        <w:autoSpaceDE/>
        <w:autoSpaceDN/>
        <w:bidi w:val="0"/>
        <w:adjustRightInd w:val="0"/>
        <w:snapToGrid w:val="0"/>
        <w:spacing w:after="0" w:line="360" w:lineRule="auto"/>
        <w:ind w:firstLine="0" w:firstLineChars="0"/>
        <w:jc w:val="center"/>
        <w:rPr>
          <w:rFonts w:hint="default" w:ascii="Times New Roman" w:hAnsi="Times New Roman" w:eastAsia="方正小标宋简体" w:cs="Times New Roman"/>
          <w:sz w:val="44"/>
          <w:szCs w:val="28"/>
        </w:rPr>
      </w:pPr>
    </w:p>
    <w:p>
      <w:pPr>
        <w:keepLines w:val="0"/>
        <w:widowControl/>
        <w:kinsoku/>
        <w:wordWrap/>
        <w:overflowPunct/>
        <w:topLinePunct w:val="0"/>
        <w:autoSpaceDE/>
        <w:autoSpaceDN/>
        <w:bidi w:val="0"/>
        <w:adjustRightInd w:val="0"/>
        <w:snapToGrid w:val="0"/>
        <w:spacing w:after="0" w:line="360" w:lineRule="auto"/>
        <w:ind w:firstLine="0" w:firstLineChars="0"/>
        <w:jc w:val="center"/>
        <w:rPr>
          <w:rFonts w:hint="default" w:ascii="Times New Roman" w:hAnsi="Times New Roman" w:eastAsia="方正小标宋简体" w:cs="Times New Roman"/>
          <w:sz w:val="44"/>
          <w:szCs w:val="28"/>
        </w:rPr>
      </w:pPr>
      <w:r>
        <w:rPr>
          <w:rFonts w:hint="default" w:ascii="Times New Roman" w:hAnsi="Times New Roman" w:eastAsia="方正小标宋简体" w:cs="Times New Roman"/>
          <w:sz w:val="44"/>
          <w:szCs w:val="28"/>
        </w:rPr>
        <w:t>浙江省卫生业务网非公立机构接入规范（试行）</w:t>
      </w:r>
      <w:bookmarkStart w:id="0" w:name="_Toc9498"/>
      <w:bookmarkStart w:id="1" w:name="_Toc15694"/>
      <w:bookmarkStart w:id="2" w:name="_Toc26752"/>
      <w:bookmarkStart w:id="3" w:name="_Toc4273"/>
      <w:bookmarkStart w:id="4" w:name="_Toc1020"/>
      <w:bookmarkStart w:id="5" w:name="_Toc14892"/>
      <w:bookmarkStart w:id="6" w:name="_Toc20115"/>
      <w:bookmarkStart w:id="7" w:name="_Toc7210"/>
      <w:bookmarkStart w:id="8" w:name="_Toc189763721"/>
    </w:p>
    <w:p>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黑体" w:cs="Times New Roman"/>
          <w:sz w:val="32"/>
          <w:szCs w:val="32"/>
          <w:lang w:val="en-US" w:eastAsia="zh-CN"/>
        </w:rPr>
      </w:pPr>
    </w:p>
    <w:p>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第一章 </w:t>
      </w:r>
      <w:r>
        <w:rPr>
          <w:rFonts w:hint="default" w:ascii="Times New Roman" w:hAnsi="Times New Roman" w:eastAsia="黑体" w:cs="Times New Roman"/>
          <w:sz w:val="32"/>
          <w:szCs w:val="32"/>
        </w:rPr>
        <w:t>概述</w:t>
      </w:r>
      <w:bookmarkEnd w:id="0"/>
      <w:bookmarkEnd w:id="1"/>
      <w:bookmarkEnd w:id="2"/>
      <w:bookmarkEnd w:id="3"/>
      <w:bookmarkEnd w:id="4"/>
      <w:bookmarkEnd w:id="5"/>
      <w:bookmarkEnd w:id="6"/>
      <w:bookmarkEnd w:id="7"/>
      <w:bookmarkEnd w:id="8"/>
    </w:p>
    <w:p>
      <w:pPr>
        <w:pStyle w:val="2"/>
        <w:keepLines w:val="0"/>
        <w:widowControl/>
        <w:numPr>
          <w:ilvl w:val="0"/>
          <w:numId w:val="0"/>
        </w:numPr>
        <w:kinsoku/>
        <w:wordWrap/>
        <w:overflowPunct/>
        <w:topLinePunct w:val="0"/>
        <w:autoSpaceDE/>
        <w:autoSpaceDN/>
        <w:bidi w:val="0"/>
        <w:adjustRightInd w:val="0"/>
        <w:snapToGrid w:val="0"/>
        <w:spacing w:before="0" w:beforeLines="0" w:after="0" w:afterLines="0" w:line="360" w:lineRule="auto"/>
        <w:ind w:leftChars="0" w:firstLine="643" w:firstLineChars="200"/>
        <w:rPr>
          <w:rFonts w:hint="default" w:ascii="Times New Roman" w:hAnsi="Times New Roman" w:eastAsia="仿宋_GB2312" w:cs="Times New Roman"/>
          <w:sz w:val="32"/>
          <w:szCs w:val="32"/>
        </w:rPr>
      </w:pPr>
      <w:bookmarkStart w:id="9" w:name="_Toc7920"/>
      <w:bookmarkStart w:id="10" w:name="_Toc20156"/>
      <w:bookmarkStart w:id="11" w:name="_Toc6281"/>
      <w:bookmarkStart w:id="12" w:name="_Toc189763722"/>
      <w:bookmarkStart w:id="13" w:name="_Toc7105"/>
      <w:bookmarkStart w:id="14" w:name="_Toc6671"/>
      <w:bookmarkStart w:id="15" w:name="_Toc2803"/>
      <w:bookmarkStart w:id="16" w:name="_Toc23883"/>
      <w:bookmarkStart w:id="17" w:name="_Toc12490"/>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目标</w:t>
      </w:r>
      <w:bookmarkEnd w:id="9"/>
      <w:bookmarkEnd w:id="10"/>
    </w:p>
    <w:p>
      <w:pPr>
        <w:keepLines w:val="0"/>
        <w:widowControl/>
        <w:kinsoku/>
        <w:wordWrap/>
        <w:overflowPunct/>
        <w:topLinePunct w:val="0"/>
        <w:autoSpaceDE/>
        <w:autoSpaceDN/>
        <w:bidi w:val="0"/>
        <w:adjustRightInd w:val="0"/>
        <w:snapToGrid w:val="0"/>
        <w:spacing w:after="0"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根据《中华人民共和国基本医疗卫生与健康促进法》</w:t>
      </w:r>
      <w:bookmarkStart w:id="110" w:name="_GoBack"/>
      <w:bookmarkEnd w:id="110"/>
      <w:r>
        <w:rPr>
          <w:rFonts w:hint="default" w:ascii="Times New Roman" w:hAnsi="Times New Roman" w:eastAsia="仿宋_GB2312" w:cs="Times New Roman"/>
          <w:sz w:val="32"/>
          <w:szCs w:val="32"/>
        </w:rPr>
        <w:t>《中华人民共和国网络安全法》《密码法》《中华人民共和国数据安全法》《中华人民共和国个人信息保护法》《关键信息基础设施安全保护条例》《网络安全审查办法》以及网络安全等级保护制度等有关法律法规标准，为指导非公立机构规范、有序、安全的接入卫生业务网，加强网络安全管理，防范网络安全事件发生，特制定本接入规范。</w:t>
      </w:r>
    </w:p>
    <w:p>
      <w:pPr>
        <w:pStyle w:val="2"/>
        <w:keepLines w:val="0"/>
        <w:widowControl/>
        <w:numPr>
          <w:ilvl w:val="0"/>
          <w:numId w:val="0"/>
        </w:numPr>
        <w:kinsoku/>
        <w:wordWrap/>
        <w:overflowPunct/>
        <w:topLinePunct w:val="0"/>
        <w:autoSpaceDE/>
        <w:autoSpaceDN/>
        <w:bidi w:val="0"/>
        <w:adjustRightInd w:val="0"/>
        <w:snapToGrid w:val="0"/>
        <w:spacing w:before="0" w:beforeLines="0" w:after="0" w:afterLines="0" w:line="360" w:lineRule="auto"/>
        <w:ind w:leftChars="0" w:firstLine="643" w:firstLineChars="200"/>
        <w:rPr>
          <w:rFonts w:hint="default" w:ascii="Times New Roman" w:hAnsi="Times New Roman" w:eastAsia="仿宋_GB2312" w:cs="Times New Roman"/>
          <w:sz w:val="32"/>
          <w:szCs w:val="32"/>
        </w:rPr>
      </w:pPr>
      <w:bookmarkStart w:id="18" w:name="_Toc30966"/>
      <w:bookmarkStart w:id="19" w:name="_Toc27301"/>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背景</w:t>
      </w:r>
      <w:bookmarkEnd w:id="11"/>
      <w:bookmarkEnd w:id="12"/>
      <w:bookmarkEnd w:id="13"/>
      <w:bookmarkEnd w:id="14"/>
      <w:bookmarkEnd w:id="15"/>
      <w:bookmarkEnd w:id="16"/>
      <w:bookmarkEnd w:id="17"/>
      <w:bookmarkEnd w:id="18"/>
      <w:bookmarkEnd w:id="19"/>
    </w:p>
    <w:p>
      <w:pPr>
        <w:keepLines w:val="0"/>
        <w:widowControl/>
        <w:kinsoku/>
        <w:wordWrap/>
        <w:overflowPunct/>
        <w:topLinePunct w:val="0"/>
        <w:autoSpaceDE/>
        <w:autoSpaceDN/>
        <w:bidi w:val="0"/>
        <w:adjustRightInd w:val="0"/>
        <w:snapToGrid w:val="0"/>
        <w:spacing w:after="0" w:line="360" w:lineRule="auto"/>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近年来，随着我省医疗卫生体系建设的持续深化与加速发展，非公立医疗机构对接入省级卫生业务专网的需求显著增强。为应对医疗服务规模扩张、提升行业服务质效、强化信息安全和资源共享能力，现基于现有卫生业务专网实施系统性升级，通过延伸网络覆盖范围、融合新一代信息技术，着力破解传统医疗数据孤岛难题。此次升级以构建标准化、开放性、互联互通的综合网络平台为核心路径，推动实现全省卫生业务专网统一架构规划与运维管理，促进公立与非公立机构间资源动态调配及业务协同，同步构建涵盖数据加密、权限管控的多层次安全防护体系，确保医疗信息全流程可追溯、可监管。最终通过数字化平台赋能，加速区域医疗健康服务体系转型升级，为构建高效整合型医疗卫生服务体系奠定智能化基石。</w:t>
      </w:r>
    </w:p>
    <w:p>
      <w:pPr>
        <w:pStyle w:val="2"/>
        <w:keepLines w:val="0"/>
        <w:widowControl/>
        <w:numPr>
          <w:ilvl w:val="0"/>
          <w:numId w:val="0"/>
        </w:numPr>
        <w:kinsoku/>
        <w:wordWrap/>
        <w:overflowPunct/>
        <w:topLinePunct w:val="0"/>
        <w:autoSpaceDE/>
        <w:autoSpaceDN/>
        <w:bidi w:val="0"/>
        <w:adjustRightInd w:val="0"/>
        <w:snapToGrid w:val="0"/>
        <w:spacing w:before="0" w:beforeLines="0" w:after="0" w:afterLines="0" w:line="360" w:lineRule="auto"/>
        <w:ind w:leftChars="0" w:firstLine="643" w:firstLineChars="200"/>
        <w:rPr>
          <w:rFonts w:hint="default" w:ascii="Times New Roman" w:hAnsi="Times New Roman" w:eastAsia="仿宋_GB2312" w:cs="Times New Roman"/>
          <w:sz w:val="32"/>
          <w:szCs w:val="32"/>
        </w:rPr>
      </w:pPr>
      <w:bookmarkStart w:id="20" w:name="_Toc11736"/>
      <w:bookmarkStart w:id="21" w:name="_Toc11028"/>
      <w:bookmarkStart w:id="22" w:name="_Toc18028"/>
      <w:bookmarkStart w:id="23" w:name="_Toc20268"/>
      <w:bookmarkStart w:id="24" w:name="_Toc189763723"/>
      <w:bookmarkStart w:id="25" w:name="_Toc19436"/>
      <w:bookmarkStart w:id="26" w:name="_Toc21017"/>
      <w:bookmarkStart w:id="27" w:name="_Toc14999"/>
      <w:bookmarkStart w:id="28" w:name="_Toc13191"/>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基本原则</w:t>
      </w:r>
      <w:bookmarkEnd w:id="20"/>
      <w:bookmarkEnd w:id="21"/>
      <w:bookmarkEnd w:id="22"/>
      <w:bookmarkEnd w:id="23"/>
      <w:bookmarkEnd w:id="24"/>
      <w:bookmarkEnd w:id="25"/>
      <w:bookmarkEnd w:id="26"/>
      <w:bookmarkEnd w:id="27"/>
      <w:bookmarkEnd w:id="28"/>
    </w:p>
    <w:p>
      <w:pPr>
        <w:pStyle w:val="7"/>
        <w:keepLines w:val="0"/>
        <w:widowControl/>
        <w:kinsoku/>
        <w:wordWrap/>
        <w:overflowPunct/>
        <w:topLinePunct w:val="0"/>
        <w:autoSpaceDE/>
        <w:autoSpaceDN/>
        <w:bidi w:val="0"/>
        <w:adjustRightInd w:val="0"/>
        <w:snapToGrid w:val="0"/>
        <w:spacing w:after="0" w:line="360" w:lineRule="auto"/>
        <w:ind w:firstLine="56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分级管理。</w:t>
      </w:r>
      <w:r>
        <w:rPr>
          <w:rFonts w:hint="default" w:ascii="Times New Roman" w:hAnsi="Times New Roman" w:eastAsia="仿宋_GB2312" w:cs="Times New Roman"/>
          <w:sz w:val="32"/>
          <w:szCs w:val="32"/>
        </w:rPr>
        <w:t>各级卫生健康行政部门负责管理本级卫生业务网的迭代升级、准入审核、安全监管等工作。按照医疗机构属地管理的原则，实现卫生业务网分级管理，非公立机构的网络接入点原则上应与医疗机构许可证的发放地相一致。</w:t>
      </w:r>
    </w:p>
    <w:p>
      <w:pPr>
        <w:pStyle w:val="7"/>
        <w:keepLines w:val="0"/>
        <w:widowControl/>
        <w:kinsoku/>
        <w:wordWrap/>
        <w:overflowPunct/>
        <w:topLinePunct w:val="0"/>
        <w:autoSpaceDE/>
        <w:autoSpaceDN/>
        <w:bidi w:val="0"/>
        <w:adjustRightInd w:val="0"/>
        <w:snapToGrid w:val="0"/>
        <w:spacing w:after="0" w:line="360" w:lineRule="auto"/>
        <w:ind w:firstLine="56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统一标准。</w:t>
      </w:r>
      <w:r>
        <w:rPr>
          <w:rFonts w:hint="default" w:ascii="Times New Roman" w:hAnsi="Times New Roman" w:eastAsia="仿宋_GB2312" w:cs="Times New Roman"/>
          <w:sz w:val="32"/>
          <w:szCs w:val="32"/>
        </w:rPr>
        <w:t>省卫生健康信息中心制定全省卫生业务网非公立机构接入规范，推动全省非公立机构接入卫生业务网，实现“愿接尽接”。</w:t>
      </w:r>
    </w:p>
    <w:p>
      <w:pPr>
        <w:pStyle w:val="7"/>
        <w:keepLines w:val="0"/>
        <w:widowControl/>
        <w:kinsoku/>
        <w:wordWrap/>
        <w:overflowPunct/>
        <w:topLinePunct w:val="0"/>
        <w:autoSpaceDE/>
        <w:autoSpaceDN/>
        <w:bidi w:val="0"/>
        <w:adjustRightInd w:val="0"/>
        <w:snapToGrid w:val="0"/>
        <w:spacing w:after="0" w:line="360" w:lineRule="auto"/>
        <w:ind w:firstLine="562"/>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b/>
          <w:bCs/>
          <w:sz w:val="32"/>
          <w:szCs w:val="32"/>
        </w:rPr>
        <w:t>加强安全。</w:t>
      </w:r>
      <w:r>
        <w:rPr>
          <w:rFonts w:hint="default" w:ascii="Times New Roman" w:hAnsi="Times New Roman" w:eastAsia="仿宋_GB2312" w:cs="Times New Roman"/>
          <w:sz w:val="32"/>
          <w:szCs w:val="32"/>
        </w:rPr>
        <w:t>各级卫生业务网主管单位要充分考虑网络安全和数据安全，发挥主体责任，加强安全监管。</w:t>
      </w:r>
      <w:bookmarkStart w:id="29" w:name="_Toc4224"/>
      <w:bookmarkStart w:id="30" w:name="_Toc19978"/>
      <w:bookmarkStart w:id="31" w:name="_Toc23898"/>
      <w:bookmarkStart w:id="32" w:name="_Toc3675"/>
      <w:bookmarkStart w:id="33" w:name="_Toc15794"/>
      <w:bookmarkStart w:id="34" w:name="_Toc189763725"/>
      <w:bookmarkStart w:id="35" w:name="_Toc13454"/>
      <w:bookmarkStart w:id="36" w:name="_Toc17438"/>
      <w:bookmarkStart w:id="37" w:name="_Toc2634"/>
    </w:p>
    <w:p>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第二章 重点建设内容</w:t>
      </w:r>
      <w:bookmarkEnd w:id="29"/>
      <w:bookmarkEnd w:id="30"/>
      <w:bookmarkEnd w:id="31"/>
      <w:bookmarkEnd w:id="32"/>
      <w:bookmarkEnd w:id="33"/>
      <w:bookmarkEnd w:id="34"/>
      <w:bookmarkEnd w:id="35"/>
      <w:bookmarkEnd w:id="36"/>
      <w:bookmarkEnd w:id="37"/>
    </w:p>
    <w:p>
      <w:pPr>
        <w:pStyle w:val="2"/>
        <w:keepLines w:val="0"/>
        <w:widowControl/>
        <w:numPr>
          <w:ilvl w:val="0"/>
          <w:numId w:val="0"/>
        </w:numPr>
        <w:kinsoku/>
        <w:wordWrap/>
        <w:overflowPunct/>
        <w:topLinePunct w:val="0"/>
        <w:autoSpaceDE/>
        <w:autoSpaceDN/>
        <w:bidi w:val="0"/>
        <w:adjustRightInd w:val="0"/>
        <w:snapToGrid w:val="0"/>
        <w:spacing w:before="0" w:beforeLines="0" w:after="0" w:afterLines="0" w:line="360" w:lineRule="auto"/>
        <w:ind w:leftChars="0" w:firstLine="643" w:firstLineChars="200"/>
        <w:rPr>
          <w:rFonts w:hint="default" w:ascii="Times New Roman" w:hAnsi="Times New Roman" w:eastAsia="仿宋_GB2312" w:cs="Times New Roman"/>
          <w:sz w:val="32"/>
          <w:szCs w:val="32"/>
        </w:rPr>
      </w:pPr>
      <w:bookmarkStart w:id="38" w:name="_Toc7069"/>
      <w:bookmarkStart w:id="39" w:name="_Toc30905"/>
      <w:bookmarkStart w:id="40" w:name="_Toc4381"/>
      <w:bookmarkStart w:id="41" w:name="_Toc9935"/>
      <w:bookmarkStart w:id="42" w:name="_Toc12417"/>
      <w:bookmarkStart w:id="43" w:name="_Toc29980"/>
      <w:bookmarkStart w:id="44" w:name="_Toc189763726"/>
      <w:bookmarkStart w:id="45" w:name="_Toc17301"/>
      <w:bookmarkStart w:id="46" w:name="_Toc9526"/>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迭代升级卫生业务网</w:t>
      </w:r>
      <w:bookmarkEnd w:id="38"/>
      <w:bookmarkEnd w:id="39"/>
      <w:bookmarkEnd w:id="40"/>
      <w:bookmarkEnd w:id="41"/>
      <w:bookmarkEnd w:id="42"/>
      <w:bookmarkEnd w:id="43"/>
      <w:bookmarkEnd w:id="44"/>
      <w:bookmarkEnd w:id="45"/>
      <w:bookmarkEnd w:id="46"/>
    </w:p>
    <w:p>
      <w:pPr>
        <w:keepLines w:val="0"/>
        <w:widowControl/>
        <w:kinsoku/>
        <w:wordWrap/>
        <w:overflowPunct/>
        <w:topLinePunct w:val="0"/>
        <w:autoSpaceDE/>
        <w:autoSpaceDN/>
        <w:bidi w:val="0"/>
        <w:adjustRightInd w:val="0"/>
        <w:snapToGrid w:val="0"/>
        <w:spacing w:after="0" w:line="360" w:lineRule="auto"/>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业务发展需要，在现有的卫生业务网基础上，拓宽医疗机构接入的范围，各级卫生健康行政单位按照技术兼容性、安全保障、数据共享与隐私保护、法规遵循与监管以及服务质量等要求，负责本级卫生业务网迭代升级工作，指导非公立机构规范、有序、安全接入卫生业务网。</w:t>
      </w:r>
    </w:p>
    <w:p>
      <w:pPr>
        <w:pStyle w:val="3"/>
        <w:keepLines w:val="0"/>
        <w:widowControl/>
        <w:numPr>
          <w:ilvl w:val="0"/>
          <w:numId w:val="0"/>
        </w:numPr>
        <w:kinsoku/>
        <w:wordWrap/>
        <w:overflowPunct/>
        <w:topLinePunct w:val="0"/>
        <w:autoSpaceDE/>
        <w:autoSpaceDN/>
        <w:bidi w:val="0"/>
        <w:adjustRightInd w:val="0"/>
        <w:snapToGrid w:val="0"/>
        <w:spacing w:before="0" w:beforeLines="0" w:after="0" w:afterLines="0" w:line="360" w:lineRule="auto"/>
        <w:ind w:leftChars="0" w:firstLine="643" w:firstLineChars="200"/>
        <w:rPr>
          <w:rFonts w:hint="default" w:ascii="Times New Roman" w:hAnsi="Times New Roman" w:eastAsia="仿宋_GB2312" w:cs="Times New Roman"/>
          <w:sz w:val="32"/>
          <w:szCs w:val="32"/>
        </w:rPr>
      </w:pPr>
      <w:bookmarkStart w:id="47" w:name="_Toc17162"/>
      <w:bookmarkStart w:id="48" w:name="_Toc14964"/>
      <w:bookmarkStart w:id="49" w:name="_Toc11595"/>
      <w:bookmarkStart w:id="50" w:name="_Toc189763727"/>
      <w:bookmarkStart w:id="51" w:name="_Toc14745"/>
      <w:bookmarkStart w:id="52" w:name="_Toc1212"/>
      <w:bookmarkStart w:id="53" w:name="_Toc4141"/>
      <w:bookmarkStart w:id="54" w:name="_Toc4259"/>
      <w:bookmarkStart w:id="55" w:name="_Toc26820"/>
      <w:r>
        <w:rPr>
          <w:rFonts w:hint="default" w:ascii="Times New Roman" w:hAnsi="Times New Roman" w:eastAsia="仿宋_GB2312" w:cs="Times New Roman"/>
          <w:sz w:val="32"/>
          <w:szCs w:val="32"/>
          <w:lang w:val="en-US" w:eastAsia="zh-CN"/>
        </w:rPr>
        <w:t>2.1.1</w:t>
      </w:r>
      <w:r>
        <w:rPr>
          <w:rFonts w:hint="default" w:ascii="Times New Roman" w:hAnsi="Times New Roman" w:eastAsia="仿宋_GB2312" w:cs="Times New Roman"/>
          <w:sz w:val="32"/>
          <w:szCs w:val="32"/>
        </w:rPr>
        <w:t>总体架构</w:t>
      </w:r>
      <w:bookmarkEnd w:id="47"/>
      <w:bookmarkEnd w:id="48"/>
      <w:bookmarkEnd w:id="49"/>
      <w:bookmarkEnd w:id="50"/>
      <w:bookmarkEnd w:id="51"/>
      <w:bookmarkEnd w:id="52"/>
      <w:bookmarkEnd w:id="53"/>
      <w:bookmarkEnd w:id="54"/>
      <w:bookmarkEnd w:id="55"/>
    </w:p>
    <w:p>
      <w:pPr>
        <w:keepLines w:val="0"/>
        <w:widowControl/>
        <w:kinsoku/>
        <w:wordWrap/>
        <w:overflowPunct/>
        <w:topLinePunct w:val="0"/>
        <w:autoSpaceDE/>
        <w:autoSpaceDN/>
        <w:bidi w:val="0"/>
        <w:adjustRightInd w:val="0"/>
        <w:snapToGrid w:val="0"/>
        <w:spacing w:after="0" w:line="360" w:lineRule="auto"/>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全省卫生业务网在纵向上由三个主要层级构成：省级骨干网、市级骨干网、县级骨干网，确保了信息在各级卫生健康行政单位及各级卫生业务网之间的顺畅流通和高效管理。</w:t>
      </w:r>
    </w:p>
    <w:p>
      <w:pPr>
        <w:keepLines w:val="0"/>
        <w:widowControl/>
        <w:kinsoku/>
        <w:wordWrap/>
        <w:overflowPunct/>
        <w:topLinePunct w:val="0"/>
        <w:autoSpaceDE/>
        <w:autoSpaceDN/>
        <w:bidi w:val="0"/>
        <w:adjustRightInd w:val="0"/>
        <w:snapToGrid w:val="0"/>
        <w:spacing w:after="0" w:line="360" w:lineRule="auto"/>
        <w:ind w:firstLine="56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根据业务需求，省市县三级卫生健康行政单位要在现有的卫生业务网架构上完成迭代升级，</w:t>
      </w:r>
      <w:r>
        <w:rPr>
          <w:rFonts w:hint="default" w:ascii="Times New Roman" w:hAnsi="Times New Roman" w:eastAsia="仿宋_GB2312" w:cs="Times New Roman"/>
          <w:sz w:val="32"/>
          <w:szCs w:val="32"/>
          <w:highlight w:val="none"/>
        </w:rPr>
        <w:t>增加非公立机构网络域。非公立机构网络域优先接入同级健康云网络接入区，通过健康云与公立机构网络域互通，也可直接接入同级卫健部门骨干节点。属地为县级的非公立机构直接接入县级卫健部门骨干节点。非公立机构可通过专线或互联网IPSec方式接入。</w:t>
      </w:r>
    </w:p>
    <w:p>
      <w:pPr>
        <w:keepLines w:val="0"/>
        <w:widowControl/>
        <w:kinsoku/>
        <w:wordWrap/>
        <w:overflowPunct/>
        <w:topLinePunct w:val="0"/>
        <w:autoSpaceDE/>
        <w:autoSpaceDN/>
        <w:bidi w:val="0"/>
        <w:adjustRightInd w:val="0"/>
        <w:snapToGrid w:val="0"/>
        <w:spacing w:after="0" w:line="360" w:lineRule="auto"/>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114300" distR="114300">
            <wp:extent cx="4684395" cy="3129280"/>
            <wp:effectExtent l="0" t="0" r="190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684395" cy="3129280"/>
                    </a:xfrm>
                    <a:prstGeom prst="rect">
                      <a:avLst/>
                    </a:prstGeom>
                    <a:noFill/>
                    <a:ln>
                      <a:noFill/>
                    </a:ln>
                  </pic:spPr>
                </pic:pic>
              </a:graphicData>
            </a:graphic>
          </wp:inline>
        </w:drawing>
      </w:r>
    </w:p>
    <w:p>
      <w:pPr>
        <w:keepLines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图1 浙江省卫生业务网总体架构示意图</w:t>
      </w:r>
    </w:p>
    <w:p>
      <w:pPr>
        <w:pStyle w:val="3"/>
        <w:keepLines w:val="0"/>
        <w:widowControl/>
        <w:numPr>
          <w:ilvl w:val="0"/>
          <w:numId w:val="0"/>
        </w:numPr>
        <w:kinsoku/>
        <w:wordWrap/>
        <w:overflowPunct/>
        <w:topLinePunct w:val="0"/>
        <w:autoSpaceDE/>
        <w:autoSpaceDN/>
        <w:bidi w:val="0"/>
        <w:adjustRightInd w:val="0"/>
        <w:snapToGrid w:val="0"/>
        <w:spacing w:before="0" w:beforeLines="0" w:after="0" w:afterLines="0" w:line="360" w:lineRule="auto"/>
        <w:ind w:leftChars="0" w:firstLine="643" w:firstLineChars="200"/>
        <w:rPr>
          <w:rFonts w:hint="default" w:ascii="Times New Roman" w:hAnsi="Times New Roman" w:eastAsia="仿宋_GB2312" w:cs="Times New Roman"/>
          <w:sz w:val="32"/>
          <w:szCs w:val="32"/>
        </w:rPr>
      </w:pPr>
      <w:bookmarkStart w:id="56" w:name="_Toc28803"/>
      <w:bookmarkStart w:id="57" w:name="_Toc11212"/>
      <w:bookmarkStart w:id="58" w:name="_Toc27868"/>
      <w:bookmarkStart w:id="59" w:name="_Toc17436"/>
      <w:bookmarkStart w:id="60" w:name="_Toc18520"/>
      <w:bookmarkStart w:id="61" w:name="_Toc6036"/>
      <w:bookmarkStart w:id="62" w:name="_Toc189763728"/>
      <w:bookmarkStart w:id="63" w:name="_Toc30213"/>
      <w:bookmarkStart w:id="64" w:name="_Toc20714"/>
      <w:r>
        <w:rPr>
          <w:rFonts w:hint="default" w:ascii="Times New Roman" w:hAnsi="Times New Roman" w:eastAsia="仿宋_GB2312" w:cs="Times New Roman"/>
          <w:sz w:val="32"/>
          <w:szCs w:val="32"/>
          <w:lang w:val="en-US" w:eastAsia="zh-CN"/>
        </w:rPr>
        <w:t>2.1.2</w:t>
      </w:r>
      <w:r>
        <w:rPr>
          <w:rFonts w:hint="default" w:ascii="Times New Roman" w:hAnsi="Times New Roman" w:eastAsia="仿宋_GB2312" w:cs="Times New Roman"/>
          <w:sz w:val="32"/>
          <w:szCs w:val="32"/>
        </w:rPr>
        <w:t>职责划分及要求</w:t>
      </w:r>
      <w:bookmarkEnd w:id="56"/>
      <w:bookmarkEnd w:id="57"/>
      <w:bookmarkEnd w:id="58"/>
      <w:bookmarkEnd w:id="59"/>
      <w:bookmarkEnd w:id="60"/>
      <w:bookmarkEnd w:id="61"/>
      <w:bookmarkEnd w:id="62"/>
      <w:bookmarkEnd w:id="63"/>
      <w:bookmarkEnd w:id="64"/>
    </w:p>
    <w:p>
      <w:pPr>
        <w:keepLines w:val="0"/>
        <w:widowControl/>
        <w:kinsoku/>
        <w:wordWrap/>
        <w:overflowPunct/>
        <w:topLinePunct w:val="0"/>
        <w:autoSpaceDE/>
        <w:autoSpaceDN/>
        <w:bidi w:val="0"/>
        <w:adjustRightInd w:val="0"/>
        <w:snapToGrid w:val="0"/>
        <w:spacing w:after="0" w:line="360" w:lineRule="auto"/>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）省级市级卫生业务网管理单位职责</w:t>
      </w:r>
    </w:p>
    <w:p>
      <w:pPr>
        <w:keepLines w:val="0"/>
        <w:widowControl/>
        <w:kinsoku/>
        <w:wordWrap/>
        <w:overflowPunct/>
        <w:topLinePunct w:val="0"/>
        <w:autoSpaceDE/>
        <w:autoSpaceDN/>
        <w:bidi w:val="0"/>
        <w:adjustRightInd w:val="0"/>
        <w:snapToGrid w:val="0"/>
        <w:spacing w:after="0" w:line="360" w:lineRule="auto"/>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省级市级卫生业务网管理单位负责本级卫生业务网的业务指导和运行监管。</w:t>
      </w:r>
    </w:p>
    <w:p>
      <w:pPr>
        <w:keepLines w:val="0"/>
        <w:widowControl/>
        <w:kinsoku/>
        <w:wordWrap/>
        <w:overflowPunct/>
        <w:topLinePunct w:val="0"/>
        <w:autoSpaceDE/>
        <w:autoSpaceDN/>
        <w:bidi w:val="0"/>
        <w:adjustRightInd w:val="0"/>
        <w:snapToGrid w:val="0"/>
        <w:spacing w:after="0" w:line="360" w:lineRule="auto"/>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）县级卫生业务网管理单位职责</w:t>
      </w:r>
    </w:p>
    <w:p>
      <w:pPr>
        <w:keepLines w:val="0"/>
        <w:widowControl/>
        <w:kinsoku/>
        <w:wordWrap/>
        <w:overflowPunct/>
        <w:topLinePunct w:val="0"/>
        <w:autoSpaceDE/>
        <w:autoSpaceDN/>
        <w:bidi w:val="0"/>
        <w:adjustRightInd w:val="0"/>
        <w:snapToGrid w:val="0"/>
        <w:spacing w:after="0" w:line="360" w:lineRule="auto"/>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县级卫生业务网管理单位负责本级卫生业务网的业务指导和运行监管，按照本规范要求，承担本级非公立机构的接入工作和安全管理职责。</w:t>
      </w:r>
    </w:p>
    <w:p>
      <w:pPr>
        <w:keepLines w:val="0"/>
        <w:widowControl/>
        <w:kinsoku/>
        <w:wordWrap/>
        <w:overflowPunct/>
        <w:topLinePunct w:val="0"/>
        <w:autoSpaceDE/>
        <w:autoSpaceDN/>
        <w:bidi w:val="0"/>
        <w:adjustRightInd w:val="0"/>
        <w:snapToGrid w:val="0"/>
        <w:spacing w:after="0" w:line="360" w:lineRule="auto"/>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）健康云网络接入区归属单位职责</w:t>
      </w:r>
    </w:p>
    <w:p>
      <w:pPr>
        <w:keepLines w:val="0"/>
        <w:widowControl/>
        <w:kinsoku/>
        <w:wordWrap/>
        <w:overflowPunct/>
        <w:topLinePunct w:val="0"/>
        <w:autoSpaceDE/>
        <w:autoSpaceDN/>
        <w:bidi w:val="0"/>
        <w:adjustRightInd w:val="0"/>
        <w:snapToGrid w:val="0"/>
        <w:spacing w:after="0" w:line="360" w:lineRule="auto"/>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按照本规范要求，承担本级非公立机构的接入工作和安全管理职责。</w:t>
      </w:r>
    </w:p>
    <w:p>
      <w:pPr>
        <w:keepLines w:val="0"/>
        <w:widowControl/>
        <w:kinsoku/>
        <w:wordWrap/>
        <w:overflowPunct/>
        <w:topLinePunct w:val="0"/>
        <w:autoSpaceDE/>
        <w:autoSpaceDN/>
        <w:bidi w:val="0"/>
        <w:adjustRightInd w:val="0"/>
        <w:snapToGrid w:val="0"/>
        <w:spacing w:after="0" w:line="360" w:lineRule="auto"/>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）相关运营商职责</w:t>
      </w:r>
    </w:p>
    <w:p>
      <w:pPr>
        <w:keepLines w:val="0"/>
        <w:widowControl/>
        <w:kinsoku/>
        <w:wordWrap/>
        <w:overflowPunct/>
        <w:topLinePunct w:val="0"/>
        <w:autoSpaceDE/>
        <w:autoSpaceDN/>
        <w:bidi w:val="0"/>
        <w:adjustRightInd w:val="0"/>
        <w:snapToGrid w:val="0"/>
        <w:spacing w:after="0" w:line="360" w:lineRule="auto"/>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按照本规范要求，承担各级非公立接入区和接入机构的专线或互联网线路建设、运维、安全管理等职责，配合各级卫生业务网管理单位工作。</w:t>
      </w:r>
    </w:p>
    <w:p>
      <w:pPr>
        <w:keepLines w:val="0"/>
        <w:widowControl/>
        <w:numPr>
          <w:ilvl w:val="0"/>
          <w:numId w:val="0"/>
        </w:numPr>
        <w:kinsoku/>
        <w:wordWrap/>
        <w:overflowPunct/>
        <w:topLinePunct w:val="0"/>
        <w:autoSpaceDE/>
        <w:autoSpaceDN/>
        <w:bidi w:val="0"/>
        <w:adjustRightInd w:val="0"/>
        <w:snapToGrid w:val="0"/>
        <w:spacing w:after="0"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接入机构职责</w:t>
      </w:r>
    </w:p>
    <w:p>
      <w:pPr>
        <w:keepLines w:val="0"/>
        <w:widowControl/>
        <w:kinsoku/>
        <w:wordWrap/>
        <w:overflowPunct/>
        <w:topLinePunct w:val="0"/>
        <w:autoSpaceDE/>
        <w:autoSpaceDN/>
        <w:bidi w:val="0"/>
        <w:adjustRightInd w:val="0"/>
        <w:snapToGrid w:val="0"/>
        <w:spacing w:after="0" w:line="360" w:lineRule="auto"/>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接入机构定期做好运行维护工作，确保接入线路稳定运行，遵守相关政策和法规，落实安全防护和数据保护措施，制定网络安全相关制度，快速响应和处理安全事件，融入本级网络安全工作体系。</w:t>
      </w:r>
      <w:bookmarkStart w:id="65" w:name="_Toc189763729"/>
      <w:bookmarkStart w:id="66" w:name="_Toc5173"/>
    </w:p>
    <w:p>
      <w:pPr>
        <w:pStyle w:val="3"/>
        <w:keepLines w:val="0"/>
        <w:widowControl/>
        <w:numPr>
          <w:ilvl w:val="0"/>
          <w:numId w:val="0"/>
        </w:numPr>
        <w:kinsoku/>
        <w:wordWrap/>
        <w:overflowPunct/>
        <w:topLinePunct w:val="0"/>
        <w:autoSpaceDE/>
        <w:autoSpaceDN/>
        <w:bidi w:val="0"/>
        <w:adjustRightInd w:val="0"/>
        <w:snapToGrid w:val="0"/>
        <w:spacing w:before="0" w:beforeLines="0" w:after="0" w:afterLines="0" w:line="360" w:lineRule="auto"/>
        <w:ind w:leftChars="0" w:firstLine="643" w:firstLineChars="200"/>
        <w:rPr>
          <w:rFonts w:hint="default" w:ascii="Times New Roman" w:hAnsi="Times New Roman" w:eastAsia="仿宋_GB2312" w:cs="Times New Roman"/>
          <w:sz w:val="32"/>
          <w:szCs w:val="32"/>
        </w:rPr>
      </w:pPr>
      <w:bookmarkStart w:id="67" w:name="_Toc13141"/>
      <w:bookmarkStart w:id="68" w:name="_Toc15708"/>
      <w:bookmarkStart w:id="69" w:name="_Toc7254"/>
      <w:bookmarkStart w:id="70" w:name="_Toc15818"/>
      <w:bookmarkStart w:id="71" w:name="_Toc16078"/>
      <w:bookmarkStart w:id="72" w:name="_Toc16767"/>
      <w:bookmarkStart w:id="73" w:name="_Toc5473"/>
      <w:r>
        <w:rPr>
          <w:rFonts w:hint="default" w:ascii="Times New Roman" w:hAnsi="Times New Roman" w:eastAsia="仿宋_GB2312" w:cs="Times New Roman"/>
          <w:sz w:val="32"/>
          <w:szCs w:val="32"/>
          <w:lang w:val="en-US" w:eastAsia="zh-CN"/>
        </w:rPr>
        <w:t>2.1.3</w:t>
      </w:r>
      <w:r>
        <w:rPr>
          <w:rFonts w:hint="default" w:ascii="Times New Roman" w:hAnsi="Times New Roman" w:eastAsia="仿宋_GB2312" w:cs="Times New Roman"/>
          <w:sz w:val="32"/>
          <w:szCs w:val="32"/>
        </w:rPr>
        <w:t>建设非公立机构接入区</w:t>
      </w:r>
      <w:bookmarkEnd w:id="65"/>
      <w:bookmarkEnd w:id="66"/>
      <w:bookmarkEnd w:id="67"/>
      <w:bookmarkEnd w:id="68"/>
      <w:bookmarkEnd w:id="69"/>
      <w:bookmarkEnd w:id="70"/>
      <w:bookmarkEnd w:id="71"/>
      <w:bookmarkEnd w:id="72"/>
      <w:bookmarkEnd w:id="73"/>
    </w:p>
    <w:p>
      <w:pPr>
        <w:keepLines w:val="0"/>
        <w:widowControl/>
        <w:kinsoku/>
        <w:wordWrap/>
        <w:overflowPunct/>
        <w:topLinePunct w:val="0"/>
        <w:autoSpaceDE/>
        <w:autoSpaceDN/>
        <w:bidi w:val="0"/>
        <w:adjustRightInd w:val="0"/>
        <w:snapToGrid w:val="0"/>
        <w:spacing w:after="0" w:line="360" w:lineRule="auto"/>
        <w:ind w:firstLine="56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非公立机构接入区用于本级非公立机构接入和网络域的边界管理。针对不同的接入方式，接入区应部署路由器、IPSec</w:t>
      </w:r>
      <w:r>
        <w:rPr>
          <w:rFonts w:hint="default" w:ascii="Times New Roman" w:hAnsi="Times New Roman" w:eastAsia="仿宋_GB2312" w:cs="Times New Roman"/>
          <w:sz w:val="32"/>
          <w:szCs w:val="32"/>
          <w:lang w:val="en-US" w:eastAsia="zh-CN"/>
        </w:rPr>
        <w:t>设备</w:t>
      </w:r>
      <w:r>
        <w:rPr>
          <w:rFonts w:hint="default" w:ascii="Times New Roman" w:hAnsi="Times New Roman" w:eastAsia="仿宋_GB2312" w:cs="Times New Roman"/>
          <w:sz w:val="32"/>
          <w:szCs w:val="32"/>
        </w:rPr>
        <w:t>等网络设备和防火墙等安全设备，实现具有访问控制、入侵检测（防御）、病毒防护等能力，提升专网网络安全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威胁防护能力。</w:t>
      </w:r>
      <w:r>
        <w:rPr>
          <w:rFonts w:hint="default" w:ascii="Times New Roman" w:hAnsi="Times New Roman" w:eastAsia="仿宋_GB2312" w:cs="Times New Roman"/>
          <w:sz w:val="32"/>
          <w:szCs w:val="32"/>
          <w:highlight w:val="none"/>
        </w:rPr>
        <w:t>非公立机构接入区如下图所示：</w:t>
      </w:r>
    </w:p>
    <w:p>
      <w:pPr>
        <w:keepLines w:val="0"/>
        <w:widowControl/>
        <w:kinsoku/>
        <w:wordWrap/>
        <w:overflowPunct/>
        <w:topLinePunct w:val="0"/>
        <w:autoSpaceDE/>
        <w:autoSpaceDN/>
        <w:bidi w:val="0"/>
        <w:adjustRightInd w:val="0"/>
        <w:snapToGrid w:val="0"/>
        <w:spacing w:after="0" w:line="360" w:lineRule="auto"/>
        <w:ind w:firstLine="0" w:firstLineChars="0"/>
        <w:jc w:val="center"/>
        <w:rPr>
          <w:rFonts w:hint="default" w:ascii="Times New Roman" w:hAnsi="Times New Roman" w:eastAsia="仿宋_GB2312" w:cs="Times New Roman"/>
          <w:snapToGrid/>
          <w:sz w:val="32"/>
          <w:szCs w:val="32"/>
        </w:rPr>
      </w:pPr>
      <w:r>
        <w:rPr>
          <w:rFonts w:hint="default" w:ascii="Times New Roman" w:hAnsi="Times New Roman" w:eastAsia="仿宋_GB2312" w:cs="Times New Roman"/>
          <w:sz w:val="32"/>
          <w:szCs w:val="32"/>
        </w:rPr>
        <w:drawing>
          <wp:inline distT="0" distB="0" distL="114300" distR="114300">
            <wp:extent cx="5222875" cy="2455545"/>
            <wp:effectExtent l="0" t="0" r="1587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22875" cy="2455545"/>
                    </a:xfrm>
                    <a:prstGeom prst="rect">
                      <a:avLst/>
                    </a:prstGeom>
                    <a:noFill/>
                    <a:ln>
                      <a:noFill/>
                    </a:ln>
                  </pic:spPr>
                </pic:pic>
              </a:graphicData>
            </a:graphic>
          </wp:inline>
        </w:drawing>
      </w:r>
    </w:p>
    <w:p>
      <w:pPr>
        <w:keepLines w:val="0"/>
        <w:widowControl/>
        <w:kinsoku/>
        <w:wordWrap/>
        <w:overflowPunct/>
        <w:topLinePunct w:val="0"/>
        <w:autoSpaceDE/>
        <w:autoSpaceDN/>
        <w:bidi w:val="0"/>
        <w:adjustRightInd w:val="0"/>
        <w:snapToGrid w:val="0"/>
        <w:spacing w:after="0" w:line="360" w:lineRule="auto"/>
        <w:ind w:firstLine="0" w:firstLineChars="0"/>
        <w:jc w:val="center"/>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图2 非公立机构接入区示意图</w:t>
      </w:r>
    </w:p>
    <w:p>
      <w:pPr>
        <w:keepLines w:val="0"/>
        <w:widowControl/>
        <w:kinsoku/>
        <w:wordWrap/>
        <w:overflowPunct/>
        <w:topLinePunct w:val="0"/>
        <w:autoSpaceDE/>
        <w:autoSpaceDN/>
        <w:bidi w:val="0"/>
        <w:adjustRightInd w:val="0"/>
        <w:snapToGrid w:val="0"/>
        <w:spacing w:after="0" w:line="360" w:lineRule="auto"/>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各级非公立机构接入区归属单位，可利旧或新建本级网络安全资源池，为接入机构提供安全服务，形成规范的安全防护体系标准，实现安全事件感知、阻断、处理的全流程化，提升卫生业务网安全水平。</w:t>
      </w:r>
    </w:p>
    <w:p>
      <w:pPr>
        <w:keepLines w:val="0"/>
        <w:widowControl/>
        <w:kinsoku/>
        <w:wordWrap/>
        <w:overflowPunct/>
        <w:topLinePunct w:val="0"/>
        <w:autoSpaceDE/>
        <w:autoSpaceDN/>
        <w:bidi w:val="0"/>
        <w:adjustRightInd w:val="0"/>
        <w:snapToGrid w:val="0"/>
        <w:spacing w:after="0" w:line="360" w:lineRule="auto"/>
        <w:jc w:val="center"/>
        <w:rPr>
          <w:rFonts w:hint="default" w:ascii="Times New Roman" w:hAnsi="Times New Roman" w:eastAsia="仿宋_GB2312" w:cs="Times New Roman"/>
          <w:b w:val="0"/>
          <w:bCs w:val="0"/>
          <w:snapToGrid/>
          <w:kern w:val="2"/>
          <w:sz w:val="32"/>
          <w:szCs w:val="32"/>
          <w:lang w:val="en-US" w:eastAsia="zh-CN" w:bidi="ar-SA"/>
        </w:rPr>
      </w:pPr>
      <w:r>
        <w:rPr>
          <w:rFonts w:hint="default" w:ascii="Times New Roman" w:hAnsi="Times New Roman" w:eastAsia="仿宋_GB2312" w:cs="Times New Roman"/>
          <w:b w:val="0"/>
          <w:bCs w:val="0"/>
          <w:snapToGrid/>
          <w:kern w:val="2"/>
          <w:sz w:val="28"/>
          <w:szCs w:val="28"/>
          <w:lang w:val="en-US" w:eastAsia="zh-CN" w:bidi="ar-SA"/>
        </w:rPr>
        <w:t>表1 接入区安全能力清单</w:t>
      </w:r>
    </w:p>
    <w:tbl>
      <w:tblPr>
        <w:tblStyle w:val="5"/>
        <w:tblW w:w="8695" w:type="dxa"/>
        <w:jc w:val="center"/>
        <w:tblInd w:w="0" w:type="dxa"/>
        <w:tblLayout w:type="fixed"/>
        <w:tblCellMar>
          <w:top w:w="0" w:type="dxa"/>
          <w:left w:w="108" w:type="dxa"/>
          <w:bottom w:w="0" w:type="dxa"/>
          <w:right w:w="108" w:type="dxa"/>
        </w:tblCellMar>
      </w:tblPr>
      <w:tblGrid>
        <w:gridCol w:w="721"/>
        <w:gridCol w:w="1070"/>
        <w:gridCol w:w="1120"/>
        <w:gridCol w:w="1310"/>
        <w:gridCol w:w="4474"/>
      </w:tblGrid>
      <w:tr>
        <w:tblPrEx>
          <w:tblLayout w:type="fixed"/>
          <w:tblCellMar>
            <w:top w:w="0" w:type="dxa"/>
            <w:left w:w="108" w:type="dxa"/>
            <w:bottom w:w="0" w:type="dxa"/>
            <w:right w:w="108" w:type="dxa"/>
          </w:tblCellMar>
        </w:tblPrEx>
        <w:trPr>
          <w:trHeight w:val="240"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部署位置</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设备类型</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必（可）选</w:t>
            </w:r>
          </w:p>
        </w:tc>
        <w:tc>
          <w:tcPr>
            <w:tcW w:w="447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功能简述</w:t>
            </w:r>
          </w:p>
        </w:tc>
      </w:tr>
      <w:tr>
        <w:tblPrEx>
          <w:tblLayout w:type="fixed"/>
          <w:tblCellMar>
            <w:top w:w="0" w:type="dxa"/>
            <w:left w:w="108" w:type="dxa"/>
            <w:bottom w:w="0" w:type="dxa"/>
            <w:right w:w="108" w:type="dxa"/>
          </w:tblCellMar>
        </w:tblPrEx>
        <w:trPr>
          <w:trHeight w:val="240"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sz w:val="24"/>
                <w:szCs w:val="24"/>
              </w:rPr>
              <w:t>接入区</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IPSec设备</w:t>
            </w:r>
          </w:p>
        </w:tc>
        <w:tc>
          <w:tcPr>
            <w:tcW w:w="1310" w:type="dxa"/>
            <w:vMerge w:val="restart"/>
            <w:tcBorders>
              <w:top w:val="single" w:color="000000" w:sz="4" w:space="0"/>
              <w:left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二选一</w:t>
            </w:r>
          </w:p>
        </w:tc>
        <w:tc>
          <w:tcPr>
            <w:tcW w:w="447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both"/>
              <w:textAlignment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sz w:val="24"/>
                <w:szCs w:val="24"/>
              </w:rPr>
              <w:t>通过互联网线路，利用IPSec技术实现逻辑网络与物理网络分离，具备统一管理、访问控制、入侵防御、病毒防护等能力。</w:t>
            </w:r>
          </w:p>
        </w:tc>
      </w:tr>
      <w:tr>
        <w:tblPrEx>
          <w:tblLayout w:type="fixed"/>
          <w:tblCellMar>
            <w:top w:w="0" w:type="dxa"/>
            <w:left w:w="108" w:type="dxa"/>
            <w:bottom w:w="0" w:type="dxa"/>
            <w:right w:w="108" w:type="dxa"/>
          </w:tblCellMar>
        </w:tblPrEx>
        <w:trPr>
          <w:trHeight w:val="240"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接入区</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路由器</w:t>
            </w:r>
          </w:p>
        </w:tc>
        <w:tc>
          <w:tcPr>
            <w:tcW w:w="1310" w:type="dxa"/>
            <w:vMerge w:val="continue"/>
            <w:tcBorders>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p>
        </w:tc>
        <w:tc>
          <w:tcPr>
            <w:tcW w:w="447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both"/>
              <w:textAlignment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sz w:val="24"/>
                <w:szCs w:val="24"/>
              </w:rPr>
              <w:t>通过专线，实现非公立机构接入。</w:t>
            </w:r>
          </w:p>
        </w:tc>
      </w:tr>
      <w:tr>
        <w:tblPrEx>
          <w:tblLayout w:type="fixed"/>
          <w:tblCellMar>
            <w:top w:w="0" w:type="dxa"/>
            <w:left w:w="108" w:type="dxa"/>
            <w:bottom w:w="0" w:type="dxa"/>
            <w:right w:w="108" w:type="dxa"/>
          </w:tblCellMar>
        </w:tblPrEx>
        <w:trPr>
          <w:trHeight w:val="1200"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接入区</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下一代防火墙</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必选</w:t>
            </w:r>
          </w:p>
        </w:tc>
        <w:tc>
          <w:tcPr>
            <w:tcW w:w="447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含基本网络防火墙功能、访问控制功能、攻击防护、Web防护、用户认证功能、链路负载均衡功能、流量控制、资产识别、IPSec VPN等功能。</w:t>
            </w:r>
          </w:p>
        </w:tc>
      </w:tr>
      <w:tr>
        <w:tblPrEx>
          <w:tblLayout w:type="fixed"/>
          <w:tblCellMar>
            <w:top w:w="0" w:type="dxa"/>
            <w:left w:w="108" w:type="dxa"/>
            <w:bottom w:w="0" w:type="dxa"/>
            <w:right w:w="108" w:type="dxa"/>
          </w:tblCellMar>
        </w:tblPrEx>
        <w:trPr>
          <w:trHeight w:val="1440"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网络安全资源池</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日志审计</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必选</w:t>
            </w:r>
          </w:p>
        </w:tc>
        <w:tc>
          <w:tcPr>
            <w:tcW w:w="447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过对各类日志的全面采集、解析和全局关联分析，全面感知各种安全威胁和异常行为事件。提供事前可预警、事后可审计的安全管理能力，满足网络安全法、等级保护2.0、数据安全法等相关法律法规对日志数据的留存及审计要求。</w:t>
            </w:r>
          </w:p>
        </w:tc>
      </w:tr>
      <w:tr>
        <w:tblPrEx>
          <w:tblLayout w:type="fixed"/>
          <w:tblCellMar>
            <w:top w:w="0" w:type="dxa"/>
            <w:left w:w="108" w:type="dxa"/>
            <w:bottom w:w="0" w:type="dxa"/>
            <w:right w:w="108" w:type="dxa"/>
          </w:tblCellMar>
        </w:tblPrEx>
        <w:trPr>
          <w:trHeight w:val="2400"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rPr>
                <w:rFonts w:hint="default" w:ascii="Times New Roman" w:hAnsi="Times New Roman" w:eastAsia="仿宋_GB2312" w:cs="Times New Roman"/>
                <w:sz w:val="24"/>
                <w:szCs w:val="24"/>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数据库审计</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必选</w:t>
            </w:r>
          </w:p>
        </w:tc>
        <w:tc>
          <w:tcPr>
            <w:tcW w:w="447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实时对数据库的访问行为进行审计监控、风险评估与综合分析。通过对用户访问数据库行为的记录和分析，帮助全面感知、定位风险；同时通过统计数据库性能情况，为数据库性能调优提供方向。满足各类法令法规（如等保2.0、分级保护、企业内控、SOX等）对数据库安全的要求。</w:t>
            </w:r>
          </w:p>
        </w:tc>
      </w:tr>
      <w:tr>
        <w:tblPrEx>
          <w:tblLayout w:type="fixed"/>
          <w:tblCellMar>
            <w:top w:w="0" w:type="dxa"/>
            <w:left w:w="108" w:type="dxa"/>
            <w:bottom w:w="0" w:type="dxa"/>
            <w:right w:w="108" w:type="dxa"/>
          </w:tblCellMar>
        </w:tblPrEx>
        <w:trPr>
          <w:trHeight w:val="960"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rPr>
                <w:rFonts w:hint="default" w:ascii="Times New Roman" w:hAnsi="Times New Roman" w:eastAsia="仿宋_GB2312" w:cs="Times New Roman"/>
                <w:sz w:val="24"/>
                <w:szCs w:val="24"/>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运维审计</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必选</w:t>
            </w:r>
          </w:p>
        </w:tc>
        <w:tc>
          <w:tcPr>
            <w:tcW w:w="447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含基本堡垒机功能，用户认证，资产管理，策略管理，工单管理，运维管理，任务管理等功能</w:t>
            </w:r>
          </w:p>
        </w:tc>
      </w:tr>
      <w:tr>
        <w:tblPrEx>
          <w:tblLayout w:type="fixed"/>
          <w:tblCellMar>
            <w:top w:w="0" w:type="dxa"/>
            <w:left w:w="108" w:type="dxa"/>
            <w:bottom w:w="0" w:type="dxa"/>
            <w:right w:w="108" w:type="dxa"/>
          </w:tblCellMar>
        </w:tblPrEx>
        <w:trPr>
          <w:trHeight w:val="470"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rPr>
                <w:rFonts w:hint="default" w:ascii="Times New Roman" w:hAnsi="Times New Roman" w:eastAsia="仿宋_GB2312" w:cs="Times New Roman"/>
                <w:sz w:val="24"/>
                <w:szCs w:val="24"/>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态势感知</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必选</w:t>
            </w:r>
          </w:p>
        </w:tc>
        <w:tc>
          <w:tcPr>
            <w:tcW w:w="447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各种WEB攻击、邮件社工类攻击进行检测；多维度全方位发现失陷主机；识别内网中横向扩散及渗透攻击行为；对检测对象的会话特征进行多维度监控统计；对流量中的资产进行统计分析；提供综合威胁分析、主机威胁分析、外部威胁分析等多个智能报表；提供综合管理和关联分析能力。</w:t>
            </w:r>
          </w:p>
        </w:tc>
      </w:tr>
      <w:tr>
        <w:tblPrEx>
          <w:tblLayout w:type="fixed"/>
          <w:tblCellMar>
            <w:top w:w="0" w:type="dxa"/>
            <w:left w:w="108" w:type="dxa"/>
            <w:bottom w:w="0" w:type="dxa"/>
            <w:right w:w="108" w:type="dxa"/>
          </w:tblCellMar>
        </w:tblPrEx>
        <w:trPr>
          <w:trHeight w:val="960"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rPr>
                <w:rFonts w:hint="default" w:ascii="Times New Roman" w:hAnsi="Times New Roman" w:eastAsia="仿宋_GB2312" w:cs="Times New Roman"/>
                <w:sz w:val="24"/>
                <w:szCs w:val="24"/>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漏扫扫描</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必选</w:t>
            </w:r>
          </w:p>
        </w:tc>
        <w:tc>
          <w:tcPr>
            <w:tcW w:w="447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集主机安全扫描、网站安全扫描、数据库安全扫描、弱口令发现和基线配置核查于一身，帮助用户提高网络安全防护性能和抗破坏能力的产品</w:t>
            </w:r>
          </w:p>
        </w:tc>
      </w:tr>
      <w:tr>
        <w:tblPrEx>
          <w:tblLayout w:type="fixed"/>
          <w:tblCellMar>
            <w:top w:w="0" w:type="dxa"/>
            <w:left w:w="108" w:type="dxa"/>
            <w:bottom w:w="0" w:type="dxa"/>
            <w:right w:w="108" w:type="dxa"/>
          </w:tblCellMar>
        </w:tblPrEx>
        <w:trPr>
          <w:trHeight w:val="1680"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rPr>
                <w:rFonts w:hint="default" w:ascii="Times New Roman" w:hAnsi="Times New Roman" w:eastAsia="仿宋_GB2312" w:cs="Times New Roman"/>
                <w:sz w:val="24"/>
                <w:szCs w:val="24"/>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终端准入</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可选</w:t>
            </w:r>
          </w:p>
        </w:tc>
        <w:tc>
          <w:tcPr>
            <w:tcW w:w="447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以旁路准入控制技术为基础，对终端行为、访问信息特征进行监控，建立综合的网络和终端技术防护体系，基于多种技术建立“事前控制、事中监控、事后审计”全生命周期安全机制，提供终端网络接入控制功能，防止非授权终端接入内网，对接入终端的安全性进行检查。若对接区未涉及终端可不做要求。</w:t>
            </w:r>
          </w:p>
        </w:tc>
      </w:tr>
      <w:tr>
        <w:tblPrEx>
          <w:tblLayout w:type="fixed"/>
          <w:tblCellMar>
            <w:top w:w="0" w:type="dxa"/>
            <w:left w:w="108" w:type="dxa"/>
            <w:bottom w:w="0" w:type="dxa"/>
            <w:right w:w="108" w:type="dxa"/>
          </w:tblCellMar>
        </w:tblPrEx>
        <w:trPr>
          <w:trHeight w:val="690"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rPr>
                <w:rFonts w:hint="default" w:ascii="Times New Roman" w:hAnsi="Times New Roman" w:eastAsia="仿宋_GB2312" w:cs="Times New Roman"/>
                <w:sz w:val="24"/>
                <w:szCs w:val="24"/>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终端杀毒</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可选</w:t>
            </w:r>
          </w:p>
        </w:tc>
        <w:tc>
          <w:tcPr>
            <w:tcW w:w="447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对主机进行安全加固，防止恶意代码入侵。</w:t>
            </w:r>
          </w:p>
        </w:tc>
      </w:tr>
    </w:tbl>
    <w:p>
      <w:pPr>
        <w:pStyle w:val="2"/>
        <w:keepLines w:val="0"/>
        <w:widowControl/>
        <w:numPr>
          <w:ilvl w:val="0"/>
          <w:numId w:val="0"/>
        </w:numPr>
        <w:kinsoku/>
        <w:wordWrap/>
        <w:overflowPunct/>
        <w:topLinePunct w:val="0"/>
        <w:autoSpaceDE/>
        <w:autoSpaceDN/>
        <w:bidi w:val="0"/>
        <w:adjustRightInd w:val="0"/>
        <w:snapToGrid w:val="0"/>
        <w:spacing w:before="0" w:beforeLines="0" w:after="0" w:afterLines="0" w:line="360" w:lineRule="auto"/>
        <w:ind w:leftChars="0" w:firstLine="643" w:firstLineChars="200"/>
        <w:rPr>
          <w:rFonts w:hint="default" w:ascii="Times New Roman" w:hAnsi="Times New Roman" w:eastAsia="仿宋_GB2312" w:cs="Times New Roman"/>
          <w:sz w:val="32"/>
          <w:szCs w:val="32"/>
        </w:rPr>
      </w:pPr>
      <w:bookmarkStart w:id="74" w:name="_Toc189763730"/>
      <w:bookmarkStart w:id="75" w:name="_Toc22212"/>
      <w:bookmarkStart w:id="76" w:name="_Toc22687"/>
      <w:bookmarkStart w:id="77" w:name="_Toc17139"/>
      <w:bookmarkStart w:id="78" w:name="_Toc2985"/>
      <w:bookmarkStart w:id="79" w:name="_Toc5322"/>
      <w:bookmarkStart w:id="80" w:name="_Toc10251"/>
      <w:bookmarkStart w:id="81" w:name="_Toc22805"/>
      <w:bookmarkStart w:id="82" w:name="_Toc11245"/>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接入机构要求</w:t>
      </w:r>
      <w:bookmarkEnd w:id="74"/>
      <w:bookmarkEnd w:id="75"/>
      <w:bookmarkEnd w:id="76"/>
      <w:bookmarkEnd w:id="77"/>
      <w:bookmarkEnd w:id="78"/>
      <w:bookmarkEnd w:id="79"/>
      <w:bookmarkEnd w:id="80"/>
      <w:bookmarkEnd w:id="81"/>
      <w:bookmarkEnd w:id="82"/>
    </w:p>
    <w:p>
      <w:pPr>
        <w:pStyle w:val="3"/>
        <w:keepLines w:val="0"/>
        <w:widowControl/>
        <w:numPr>
          <w:ilvl w:val="0"/>
          <w:numId w:val="0"/>
        </w:numPr>
        <w:kinsoku/>
        <w:wordWrap/>
        <w:overflowPunct/>
        <w:topLinePunct w:val="0"/>
        <w:autoSpaceDE/>
        <w:autoSpaceDN/>
        <w:bidi w:val="0"/>
        <w:adjustRightInd w:val="0"/>
        <w:snapToGrid w:val="0"/>
        <w:spacing w:before="0" w:beforeLines="0" w:after="0" w:afterLines="0" w:line="360" w:lineRule="auto"/>
        <w:ind w:leftChars="0" w:firstLine="643" w:firstLineChars="200"/>
        <w:rPr>
          <w:rFonts w:hint="default" w:ascii="Times New Roman" w:hAnsi="Times New Roman" w:eastAsia="仿宋_GB2312" w:cs="Times New Roman"/>
          <w:sz w:val="32"/>
          <w:szCs w:val="32"/>
        </w:rPr>
      </w:pPr>
      <w:bookmarkStart w:id="83" w:name="_Toc189763731"/>
      <w:bookmarkStart w:id="84" w:name="_Toc1754"/>
      <w:bookmarkStart w:id="85" w:name="_Toc29035"/>
      <w:bookmarkStart w:id="86" w:name="_Toc8816"/>
      <w:bookmarkStart w:id="87" w:name="_Toc6445"/>
      <w:bookmarkStart w:id="88" w:name="_Toc16398"/>
      <w:bookmarkStart w:id="89" w:name="_Toc538"/>
      <w:bookmarkStart w:id="90" w:name="_Toc7933"/>
      <w:bookmarkStart w:id="91" w:name="_Toc20563"/>
      <w:r>
        <w:rPr>
          <w:rFonts w:hint="default" w:ascii="Times New Roman" w:hAnsi="Times New Roman" w:eastAsia="仿宋_GB2312" w:cs="Times New Roman"/>
          <w:sz w:val="32"/>
          <w:szCs w:val="32"/>
          <w:lang w:val="en-US" w:eastAsia="zh-CN"/>
        </w:rPr>
        <w:t>2.2.1</w:t>
      </w:r>
      <w:r>
        <w:rPr>
          <w:rFonts w:hint="default" w:ascii="Times New Roman" w:hAnsi="Times New Roman" w:eastAsia="仿宋_GB2312" w:cs="Times New Roman"/>
          <w:sz w:val="32"/>
          <w:szCs w:val="32"/>
        </w:rPr>
        <w:t>资质要求</w:t>
      </w:r>
      <w:bookmarkEnd w:id="83"/>
      <w:bookmarkEnd w:id="84"/>
      <w:bookmarkEnd w:id="85"/>
      <w:bookmarkEnd w:id="86"/>
      <w:bookmarkEnd w:id="87"/>
      <w:bookmarkEnd w:id="88"/>
      <w:bookmarkEnd w:id="89"/>
      <w:bookmarkEnd w:id="90"/>
      <w:bookmarkEnd w:id="91"/>
    </w:p>
    <w:p>
      <w:pPr>
        <w:keepLines w:val="0"/>
        <w:widowControl/>
        <w:kinsoku/>
        <w:wordWrap/>
        <w:overflowPunct/>
        <w:topLinePunct w:val="0"/>
        <w:autoSpaceDE/>
        <w:autoSpaceDN/>
        <w:bidi w:val="0"/>
        <w:adjustRightInd w:val="0"/>
        <w:snapToGrid w:val="0"/>
        <w:spacing w:after="0" w:line="360" w:lineRule="auto"/>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非公立机构在申请接入卫生业务网前，需提交相关资质证明（如医疗机构执业许可证、与信息安全文件等），由各本级卫生业务网主管部门对资质进行审核。</w:t>
      </w:r>
    </w:p>
    <w:p>
      <w:pPr>
        <w:pStyle w:val="3"/>
        <w:keepLines w:val="0"/>
        <w:widowControl/>
        <w:numPr>
          <w:ilvl w:val="0"/>
          <w:numId w:val="0"/>
        </w:numPr>
        <w:kinsoku/>
        <w:wordWrap/>
        <w:overflowPunct/>
        <w:topLinePunct w:val="0"/>
        <w:autoSpaceDE/>
        <w:autoSpaceDN/>
        <w:bidi w:val="0"/>
        <w:adjustRightInd w:val="0"/>
        <w:snapToGrid w:val="0"/>
        <w:spacing w:before="0" w:beforeLines="0" w:after="0" w:afterLines="0" w:line="360" w:lineRule="auto"/>
        <w:ind w:leftChars="0" w:firstLine="643" w:firstLineChars="200"/>
        <w:rPr>
          <w:rFonts w:hint="default" w:ascii="Times New Roman" w:hAnsi="Times New Roman" w:eastAsia="仿宋_GB2312" w:cs="Times New Roman"/>
          <w:sz w:val="32"/>
          <w:szCs w:val="32"/>
        </w:rPr>
      </w:pPr>
      <w:bookmarkStart w:id="92" w:name="_Toc6139"/>
      <w:bookmarkStart w:id="93" w:name="_Toc18994"/>
      <w:bookmarkStart w:id="94" w:name="_Toc21956"/>
      <w:bookmarkStart w:id="95" w:name="_Toc17496"/>
      <w:bookmarkStart w:id="96" w:name="_Toc25864"/>
      <w:bookmarkStart w:id="97" w:name="_Toc9467"/>
      <w:bookmarkStart w:id="98" w:name="_Toc189763732"/>
      <w:bookmarkStart w:id="99" w:name="_Toc9695"/>
      <w:bookmarkStart w:id="100" w:name="_Toc27504"/>
      <w:r>
        <w:rPr>
          <w:rFonts w:hint="default" w:ascii="Times New Roman" w:hAnsi="Times New Roman" w:eastAsia="仿宋_GB2312" w:cs="Times New Roman"/>
          <w:sz w:val="32"/>
          <w:szCs w:val="32"/>
          <w:lang w:val="en-US" w:eastAsia="zh-CN"/>
        </w:rPr>
        <w:t>2.2.2</w:t>
      </w:r>
      <w:r>
        <w:rPr>
          <w:rFonts w:hint="default" w:ascii="Times New Roman" w:hAnsi="Times New Roman" w:eastAsia="仿宋_GB2312" w:cs="Times New Roman"/>
          <w:sz w:val="32"/>
          <w:szCs w:val="32"/>
        </w:rPr>
        <w:t>网络要求</w:t>
      </w:r>
      <w:bookmarkEnd w:id="92"/>
      <w:bookmarkEnd w:id="93"/>
      <w:bookmarkEnd w:id="94"/>
      <w:bookmarkEnd w:id="95"/>
      <w:bookmarkEnd w:id="96"/>
      <w:bookmarkEnd w:id="97"/>
      <w:bookmarkEnd w:id="98"/>
      <w:bookmarkEnd w:id="99"/>
      <w:bookmarkEnd w:id="100"/>
    </w:p>
    <w:p>
      <w:pPr>
        <w:keepLines w:val="0"/>
        <w:widowControl/>
        <w:kinsoku/>
        <w:wordWrap/>
        <w:overflowPunct/>
        <w:topLinePunct w:val="0"/>
        <w:autoSpaceDE/>
        <w:autoSpaceDN/>
        <w:bidi w:val="0"/>
        <w:adjustRightInd w:val="0"/>
        <w:snapToGrid w:val="0"/>
        <w:spacing w:after="0" w:line="360" w:lineRule="auto"/>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专线方式：与公立机构网络域逻辑或物理隔离，不得与互联网连接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互联网IPSec方式：逻辑网络与物理网络分离，逻辑网络不得与互联网连接。</w:t>
      </w:r>
    </w:p>
    <w:p>
      <w:pPr>
        <w:keepLines w:val="0"/>
        <w:widowControl/>
        <w:kinsoku/>
        <w:wordWrap/>
        <w:overflowPunct/>
        <w:topLinePunct w:val="0"/>
        <w:autoSpaceDE/>
        <w:autoSpaceDN/>
        <w:bidi w:val="0"/>
        <w:adjustRightInd w:val="0"/>
        <w:snapToGrid w:val="0"/>
        <w:spacing w:after="0" w:line="360" w:lineRule="auto"/>
        <w:ind w:firstLine="56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链路测试指标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吞吐量(Throughput)100%，丢包率(Frame Loss)&lt;0.1%</w:t>
      </w:r>
      <w:r>
        <w:rPr>
          <w:rFonts w:hint="default" w:ascii="Times New Roman" w:hAnsi="Times New Roman" w:eastAsia="仿宋_GB2312" w:cs="Times New Roman"/>
          <w:sz w:val="32"/>
          <w:szCs w:val="32"/>
          <w:lang w:eastAsia="zh-CN"/>
        </w:rPr>
        <w:t>。</w:t>
      </w:r>
    </w:p>
    <w:p>
      <w:pPr>
        <w:keepLines w:val="0"/>
        <w:widowControl/>
        <w:kinsoku/>
        <w:wordWrap/>
        <w:overflowPunct/>
        <w:topLinePunct w:val="0"/>
        <w:autoSpaceDE/>
        <w:autoSpaceDN/>
        <w:bidi w:val="0"/>
        <w:adjustRightInd w:val="0"/>
        <w:snapToGrid w:val="0"/>
        <w:spacing w:after="0" w:line="360" w:lineRule="auto"/>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带宽要求：专线链路带宽不少于</w:t>
      </w:r>
      <w:r>
        <w:rPr>
          <w:rFonts w:hint="default" w:ascii="Times New Roman" w:hAnsi="Times New Roman" w:eastAsia="仿宋_GB2312" w:cs="Times New Roman"/>
          <w:sz w:val="32"/>
          <w:szCs w:val="32"/>
          <w:highlight w:val="none"/>
        </w:rPr>
        <w:t>10Mbps</w:t>
      </w:r>
      <w:r>
        <w:rPr>
          <w:rFonts w:hint="default" w:ascii="Times New Roman" w:hAnsi="Times New Roman" w:eastAsia="仿宋_GB2312" w:cs="Times New Roman"/>
          <w:sz w:val="32"/>
          <w:szCs w:val="32"/>
        </w:rPr>
        <w:t>，带宽可按需扩容；IPSec加密通道带宽不少于10Mbps。</w:t>
      </w:r>
    </w:p>
    <w:p>
      <w:pPr>
        <w:pStyle w:val="3"/>
        <w:keepLines w:val="0"/>
        <w:widowControl/>
        <w:numPr>
          <w:ilvl w:val="0"/>
          <w:numId w:val="0"/>
        </w:numPr>
        <w:kinsoku/>
        <w:wordWrap/>
        <w:overflowPunct/>
        <w:topLinePunct w:val="0"/>
        <w:autoSpaceDE/>
        <w:autoSpaceDN/>
        <w:bidi w:val="0"/>
        <w:adjustRightInd w:val="0"/>
        <w:snapToGrid w:val="0"/>
        <w:spacing w:before="0" w:beforeLines="0" w:after="0" w:afterLines="0" w:line="360" w:lineRule="auto"/>
        <w:ind w:leftChars="0" w:firstLine="643" w:firstLineChars="200"/>
        <w:rPr>
          <w:rFonts w:hint="default" w:ascii="Times New Roman" w:hAnsi="Times New Roman" w:eastAsia="仿宋_GB2312" w:cs="Times New Roman"/>
          <w:sz w:val="32"/>
          <w:szCs w:val="32"/>
        </w:rPr>
      </w:pPr>
      <w:bookmarkStart w:id="101" w:name="_Toc4919"/>
      <w:bookmarkStart w:id="102" w:name="_Toc26521"/>
      <w:bookmarkStart w:id="103" w:name="_Toc32612"/>
      <w:bookmarkStart w:id="104" w:name="_Toc17857"/>
      <w:bookmarkStart w:id="105" w:name="_Toc189763735"/>
      <w:bookmarkStart w:id="106" w:name="_Toc24529"/>
      <w:bookmarkStart w:id="107" w:name="_Toc9405"/>
      <w:bookmarkStart w:id="108" w:name="_Toc15886"/>
      <w:bookmarkStart w:id="109" w:name="_Toc28524"/>
      <w:r>
        <w:rPr>
          <w:rFonts w:hint="default" w:ascii="Times New Roman" w:hAnsi="Times New Roman" w:eastAsia="仿宋_GB2312" w:cs="Times New Roman"/>
          <w:sz w:val="32"/>
          <w:szCs w:val="32"/>
          <w:lang w:val="en-US" w:eastAsia="zh-CN"/>
        </w:rPr>
        <w:t>2.2.3</w:t>
      </w:r>
      <w:r>
        <w:rPr>
          <w:rFonts w:hint="default" w:ascii="Times New Roman" w:hAnsi="Times New Roman" w:eastAsia="仿宋_GB2312" w:cs="Times New Roman"/>
          <w:sz w:val="32"/>
          <w:szCs w:val="32"/>
        </w:rPr>
        <w:t>安全要求</w:t>
      </w:r>
      <w:bookmarkEnd w:id="101"/>
      <w:bookmarkEnd w:id="102"/>
      <w:bookmarkEnd w:id="103"/>
      <w:bookmarkEnd w:id="104"/>
      <w:bookmarkEnd w:id="105"/>
      <w:bookmarkEnd w:id="106"/>
      <w:bookmarkEnd w:id="107"/>
      <w:bookmarkEnd w:id="108"/>
      <w:bookmarkEnd w:id="109"/>
    </w:p>
    <w:p>
      <w:pPr>
        <w:keepLines w:val="0"/>
        <w:widowControl/>
        <w:kinsoku/>
        <w:wordWrap/>
        <w:overflowPunct/>
        <w:topLinePunct w:val="0"/>
        <w:autoSpaceDE/>
        <w:autoSpaceDN/>
        <w:bidi w:val="0"/>
        <w:adjustRightInd w:val="0"/>
        <w:snapToGrid w:val="0"/>
        <w:spacing w:after="0" w:line="360" w:lineRule="auto"/>
        <w:ind w:firstLine="560"/>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接入机构须按照《中华人民共和国网络安全法》《信息系统安全保护条例》等法律法规，落实信息系统等保定级和相应网络数据安全防护，尤其对存储有大量公民个人敏感信息的信息系统，须至少按照等保二级以上的标准构建安全防护体系。</w:t>
      </w:r>
    </w:p>
    <w:p>
      <w:pPr>
        <w:pStyle w:val="4"/>
        <w:keepLines w:val="0"/>
        <w:widowControl/>
        <w:numPr>
          <w:ilvl w:val="3"/>
          <w:numId w:val="0"/>
        </w:numPr>
        <w:kinsoku/>
        <w:wordWrap/>
        <w:overflowPunct/>
        <w:topLinePunct w:val="0"/>
        <w:autoSpaceDE/>
        <w:autoSpaceDN/>
        <w:bidi w:val="0"/>
        <w:adjustRightInd w:val="0"/>
        <w:snapToGrid w:val="0"/>
        <w:spacing w:before="0" w:beforeLines="0" w:after="0" w:afterLines="0" w:line="360" w:lineRule="auto"/>
        <w:jc w:val="center"/>
        <w:rPr>
          <w:rFonts w:hint="default" w:ascii="Times New Roman" w:hAnsi="Times New Roman" w:eastAsia="仿宋_GB2312" w:cs="Times New Roman"/>
          <w:b w:val="0"/>
          <w:bCs w:val="0"/>
          <w:snapToGrid/>
          <w:kern w:val="2"/>
          <w:sz w:val="28"/>
          <w:szCs w:val="28"/>
          <w:lang w:val="en-US" w:eastAsia="zh-CN" w:bidi="ar-SA"/>
        </w:rPr>
      </w:pPr>
      <w:r>
        <w:rPr>
          <w:rFonts w:hint="default" w:ascii="Times New Roman" w:hAnsi="Times New Roman" w:eastAsia="仿宋_GB2312" w:cs="Times New Roman"/>
          <w:b w:val="0"/>
          <w:bCs w:val="0"/>
          <w:snapToGrid/>
          <w:kern w:val="2"/>
          <w:sz w:val="28"/>
          <w:szCs w:val="28"/>
          <w:lang w:val="en-US" w:eastAsia="zh-CN" w:bidi="ar-SA"/>
        </w:rPr>
        <w:t>表2 接入机构安全能力清单</w:t>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694"/>
        <w:gridCol w:w="1730"/>
        <w:gridCol w:w="1256"/>
        <w:gridCol w:w="3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01" w:type="dxa"/>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1694" w:type="dxa"/>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部署位置</w:t>
            </w:r>
          </w:p>
        </w:tc>
        <w:tc>
          <w:tcPr>
            <w:tcW w:w="1730" w:type="dxa"/>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设备类型</w:t>
            </w:r>
          </w:p>
        </w:tc>
        <w:tc>
          <w:tcPr>
            <w:tcW w:w="1256" w:type="dxa"/>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必（可）选</w:t>
            </w:r>
          </w:p>
        </w:tc>
        <w:tc>
          <w:tcPr>
            <w:tcW w:w="3141" w:type="dxa"/>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功能简述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01" w:type="dxa"/>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1694" w:type="dxa"/>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接入机构</w:t>
            </w:r>
          </w:p>
        </w:tc>
        <w:tc>
          <w:tcPr>
            <w:tcW w:w="1730" w:type="dxa"/>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交换机或路由器</w:t>
            </w:r>
          </w:p>
        </w:tc>
        <w:tc>
          <w:tcPr>
            <w:tcW w:w="1256" w:type="dxa"/>
            <w:vMerge w:val="restart"/>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二选一</w:t>
            </w:r>
          </w:p>
        </w:tc>
        <w:tc>
          <w:tcPr>
            <w:tcW w:w="3141" w:type="dxa"/>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sz w:val="24"/>
                <w:szCs w:val="24"/>
              </w:rPr>
              <w:t>通过专线，实现非公立机构接入。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01" w:type="dxa"/>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1694" w:type="dxa"/>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接入机构</w:t>
            </w:r>
          </w:p>
        </w:tc>
        <w:tc>
          <w:tcPr>
            <w:tcW w:w="1730" w:type="dxa"/>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IPSec终端设备</w:t>
            </w:r>
          </w:p>
        </w:tc>
        <w:tc>
          <w:tcPr>
            <w:tcW w:w="1256" w:type="dxa"/>
            <w:vMerge w:val="continue"/>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rPr>
                <w:rFonts w:hint="default" w:ascii="Times New Roman" w:hAnsi="Times New Roman" w:eastAsia="仿宋_GB2312" w:cs="Times New Roman"/>
                <w:sz w:val="24"/>
                <w:szCs w:val="24"/>
                <w:highlight w:val="yellow"/>
              </w:rPr>
            </w:pPr>
          </w:p>
        </w:tc>
        <w:tc>
          <w:tcPr>
            <w:tcW w:w="3141" w:type="dxa"/>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sz w:val="24"/>
                <w:szCs w:val="24"/>
              </w:rPr>
              <w:t>通过互联网线路，利用IPSec技术实现逻辑网络与物理网络分离，具备统一管理、访问控制、入侵防御、病毒防护等能力。</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6E7BC7"/>
    <w:multiLevelType w:val="multilevel"/>
    <w:tmpl w:val="776E7BC7"/>
    <w:lvl w:ilvl="0" w:tentative="0">
      <w:start w:val="1"/>
      <w:numFmt w:val="chineseCountingThousand"/>
      <w:suff w:val="space"/>
      <w:lvlText w:val="第%1章"/>
      <w:lvlJc w:val="left"/>
      <w:pPr>
        <w:ind w:left="0" w:firstLine="0"/>
      </w:pPr>
      <w:rPr>
        <w:rFonts w:hint="eastAsia" w:ascii="微软雅黑" w:hAnsi="微软雅黑" w:eastAsia="微软雅黑"/>
        <w:snapToGrid w:val="0"/>
        <w:spacing w:val="0"/>
        <w:w w:val="100"/>
        <w:kern w:val="2"/>
        <w:position w:val="0"/>
      </w:rPr>
    </w:lvl>
    <w:lvl w:ilvl="1" w:tentative="0">
      <w:start w:val="1"/>
      <w:numFmt w:val="decimal"/>
      <w:pStyle w:val="2"/>
      <w:isLgl/>
      <w:suff w:val="space"/>
      <w:lvlText w:val="%1.%2"/>
      <w:lvlJc w:val="left"/>
      <w:pPr>
        <w:ind w:left="0" w:firstLine="0"/>
      </w:pPr>
      <w:rPr>
        <w:rFonts w:hint="eastAsia"/>
      </w:rPr>
    </w:lvl>
    <w:lvl w:ilvl="2" w:tentative="0">
      <w:start w:val="1"/>
      <w:numFmt w:val="decimal"/>
      <w:pStyle w:val="3"/>
      <w:isLgl/>
      <w:suff w:val="space"/>
      <w:lvlText w:val="%1.%2.%3"/>
      <w:lvlJc w:val="left"/>
      <w:pPr>
        <w:ind w:left="0" w:firstLine="0"/>
      </w:pPr>
      <w:rPr>
        <w:rFonts w:hint="eastAsia"/>
      </w:rPr>
    </w:lvl>
    <w:lvl w:ilvl="3" w:tentative="0">
      <w:start w:val="1"/>
      <w:numFmt w:val="decimal"/>
      <w:pStyle w:val="4"/>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lvlText w:val="%1.%2.%3.%4.%5.%6"/>
      <w:lvlJc w:val="left"/>
      <w:pPr>
        <w:ind w:left="0" w:firstLine="0"/>
      </w:pPr>
      <w:rPr>
        <w:rFonts w:hint="eastAsia"/>
      </w:rPr>
    </w:lvl>
    <w:lvl w:ilvl="6" w:tentative="0">
      <w:start w:val="1"/>
      <w:numFmt w:val="decimal"/>
      <w:isLgl/>
      <w:lvlText w:val="%1.%2.%3.%4.%5.%6.%7"/>
      <w:lvlJc w:val="left"/>
      <w:pPr>
        <w:ind w:left="0" w:firstLine="0"/>
      </w:pPr>
      <w:rPr>
        <w:rFonts w:hint="eastAsia"/>
      </w:rPr>
    </w:lvl>
    <w:lvl w:ilvl="7" w:tentative="0">
      <w:start w:val="1"/>
      <w:numFmt w:val="decimal"/>
      <w:isLgl/>
      <w:lvlText w:val="%1.%2.%3.%4.%5.%6.%7.%8"/>
      <w:lvlJc w:val="left"/>
      <w:pPr>
        <w:ind w:left="0" w:firstLine="0"/>
      </w:pPr>
      <w:rPr>
        <w:rFonts w:hint="default" w:ascii="Arial" w:hAnsi="Arial" w:eastAsia="宋体"/>
        <w:snapToGrid w:val="0"/>
        <w:spacing w:val="0"/>
        <w:w w:val="100"/>
        <w:kern w:val="2"/>
        <w:position w:val="0"/>
      </w:rPr>
    </w:lvl>
    <w:lvl w:ilvl="8" w:tentative="0">
      <w:start w:val="1"/>
      <w:numFmt w:val="decimal"/>
      <w:isLgl/>
      <w:lvlText w:val="%1.%2.%3.%4.%5.%6.%7.%8.%9"/>
      <w:lvlJc w:val="left"/>
      <w:pPr>
        <w:ind w:left="0" w:firstLine="0"/>
      </w:pPr>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F336FA"/>
    <w:rsid w:val="26A648DD"/>
    <w:rsid w:val="3DF336FA"/>
    <w:rsid w:val="547C4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0"/>
    <w:pPr>
      <w:keepNext/>
      <w:numPr>
        <w:ilvl w:val="1"/>
        <w:numId w:val="1"/>
      </w:numPr>
      <w:adjustRightInd w:val="0"/>
      <w:snapToGrid w:val="0"/>
      <w:spacing w:before="100" w:beforeLines="100" w:after="100" w:afterLines="100" w:line="278" w:lineRule="auto"/>
      <w:outlineLvl w:val="1"/>
    </w:pPr>
    <w:rPr>
      <w:rFonts w:ascii="微软雅黑" w:hAnsi="微软雅黑" w:eastAsia="微软雅黑" w:cs="Times New Roman"/>
      <w:b/>
      <w:bCs/>
      <w:snapToGrid w:val="0"/>
      <w:kern w:val="2"/>
      <w:sz w:val="30"/>
      <w:szCs w:val="32"/>
      <w:lang w:val="en-US" w:eastAsia="zh-CN" w:bidi="ar-SA"/>
    </w:rPr>
  </w:style>
  <w:style w:type="paragraph" w:styleId="3">
    <w:name w:val="heading 3"/>
    <w:next w:val="1"/>
    <w:qFormat/>
    <w:uiPriority w:val="0"/>
    <w:pPr>
      <w:keepNext/>
      <w:numPr>
        <w:ilvl w:val="2"/>
        <w:numId w:val="1"/>
      </w:numPr>
      <w:adjustRightInd w:val="0"/>
      <w:snapToGrid w:val="0"/>
      <w:spacing w:before="100" w:beforeLines="100" w:after="100" w:afterLines="100" w:line="278" w:lineRule="auto"/>
      <w:outlineLvl w:val="2"/>
    </w:pPr>
    <w:rPr>
      <w:rFonts w:ascii="微软雅黑" w:hAnsi="微软雅黑" w:eastAsia="微软雅黑" w:cs="Times New Roman"/>
      <w:b/>
      <w:bCs/>
      <w:snapToGrid w:val="0"/>
      <w:kern w:val="2"/>
      <w:sz w:val="30"/>
      <w:szCs w:val="32"/>
      <w:lang w:val="en-US" w:eastAsia="zh-CN" w:bidi="ar-SA"/>
    </w:rPr>
  </w:style>
  <w:style w:type="paragraph" w:styleId="4">
    <w:name w:val="heading 4"/>
    <w:next w:val="1"/>
    <w:qFormat/>
    <w:uiPriority w:val="0"/>
    <w:pPr>
      <w:keepNext/>
      <w:numPr>
        <w:ilvl w:val="3"/>
        <w:numId w:val="1"/>
      </w:numPr>
      <w:adjustRightInd w:val="0"/>
      <w:snapToGrid w:val="0"/>
      <w:spacing w:before="50" w:beforeLines="50" w:after="50" w:afterLines="50" w:line="278" w:lineRule="auto"/>
      <w:outlineLvl w:val="3"/>
    </w:pPr>
    <w:rPr>
      <w:rFonts w:ascii="微软雅黑" w:hAnsi="微软雅黑" w:eastAsia="微软雅黑" w:cs="Times New Roman"/>
      <w:b/>
      <w:bCs/>
      <w:snapToGrid w:val="0"/>
      <w:kern w:val="2"/>
      <w:sz w:val="28"/>
      <w:szCs w:val="28"/>
      <w:lang w:val="en-US" w:eastAsia="zh-CN" w:bidi="ar-SA"/>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7">
    <w:name w:val="List Paragraph"/>
    <w:basedOn w:val="1"/>
    <w:qFormat/>
    <w:uiPriority w:val="34"/>
    <w:pPr>
      <w:ind w:firstLine="420"/>
    </w:pPr>
  </w:style>
  <w:style w:type="paragraph" w:customStyle="1" w:styleId="8">
    <w:name w:val="表格文字"/>
    <w:qFormat/>
    <w:uiPriority w:val="8"/>
    <w:pPr>
      <w:tabs>
        <w:tab w:val="left" w:pos="4815"/>
      </w:tabs>
      <w:adjustRightInd w:val="0"/>
      <w:snapToGrid w:val="0"/>
      <w:spacing w:before="50" w:beforeLines="50" w:after="25" w:afterLines="25" w:line="360" w:lineRule="auto"/>
    </w:pPr>
    <w:rPr>
      <w:rFonts w:ascii="Arial" w:hAnsi="Arial"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2025-04-18T08:23:00Z</dcterms:created>
  <dc:creator>xxzx</dc:creator>
  <cp:lastModifiedBy>xxzx</cp:lastModifiedBy>
  <dcterms:modified xsi:type="dcterms:W3CDTF">2025-04-30T09:45:36Z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