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C5C362">
      <w:pPr>
        <w:spacing w:after="0" w:line="560" w:lineRule="exact"/>
        <w:ind w:firstLine="436" w:firstLineChars="100"/>
        <w:jc w:val="both"/>
        <w:rPr>
          <w:rFonts w:eastAsia="方正小标宋简体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乐清</w:t>
      </w:r>
      <w:r>
        <w:rPr>
          <w:rFonts w:hint="eastAsia" w:eastAsia="方正小标宋简体"/>
          <w:sz w:val="44"/>
          <w:szCs w:val="44"/>
          <w:lang w:bidi="ar"/>
        </w:rPr>
        <w:t>市</w:t>
      </w:r>
      <w:r>
        <w:rPr>
          <w:rFonts w:eastAsia="方正小标宋简体"/>
          <w:sz w:val="44"/>
          <w:szCs w:val="44"/>
          <w:lang w:bidi="ar"/>
        </w:rPr>
        <w:t>关于推动经济高质量发展的若干政策</w:t>
      </w:r>
    </w:p>
    <w:p w14:paraId="69A9982C">
      <w:pPr>
        <w:spacing w:after="0" w:line="560" w:lineRule="exact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（2025版）</w:t>
      </w:r>
    </w:p>
    <w:p w14:paraId="6C1E4777">
      <w:pPr>
        <w:pStyle w:val="2"/>
        <w:spacing w:after="0" w:line="560" w:lineRule="exact"/>
        <w:ind w:left="0" w:leftChars="0" w:firstLine="0" w:firstLineChars="0"/>
        <w:jc w:val="center"/>
        <w:rPr>
          <w:rFonts w:eastAsia="楷体_GB2312"/>
          <w:kern w:val="2"/>
          <w:sz w:val="32"/>
          <w:szCs w:val="32"/>
          <w:lang w:bidi="ar"/>
        </w:rPr>
      </w:pPr>
      <w:r>
        <w:rPr>
          <w:rFonts w:eastAsia="楷体_GB2312"/>
          <w:kern w:val="2"/>
          <w:sz w:val="32"/>
          <w:szCs w:val="32"/>
          <w:lang w:bidi="ar"/>
        </w:rPr>
        <w:t>（</w:t>
      </w:r>
      <w:r>
        <w:rPr>
          <w:rFonts w:hint="eastAsia" w:eastAsia="楷体_GB2312"/>
          <w:kern w:val="2"/>
          <w:sz w:val="32"/>
          <w:szCs w:val="32"/>
          <w:lang w:val="en-US" w:eastAsia="zh-CN" w:bidi="ar"/>
        </w:rPr>
        <w:t>送审</w:t>
      </w:r>
      <w:r>
        <w:rPr>
          <w:rFonts w:hint="eastAsia" w:eastAsia="楷体_GB2312"/>
          <w:kern w:val="2"/>
          <w:sz w:val="32"/>
          <w:szCs w:val="32"/>
          <w:lang w:bidi="ar"/>
        </w:rPr>
        <w:t>稿</w:t>
      </w:r>
      <w:r>
        <w:rPr>
          <w:rFonts w:eastAsia="楷体_GB2312"/>
          <w:kern w:val="2"/>
          <w:sz w:val="32"/>
          <w:szCs w:val="32"/>
          <w:lang w:bidi="ar"/>
        </w:rPr>
        <w:t>）</w:t>
      </w:r>
    </w:p>
    <w:p w14:paraId="6C455A5F">
      <w:pPr>
        <w:pStyle w:val="2"/>
        <w:spacing w:after="0" w:line="560" w:lineRule="exact"/>
        <w:ind w:firstLine="0" w:firstLineChars="0"/>
        <w:jc w:val="center"/>
      </w:pPr>
    </w:p>
    <w:p w14:paraId="03EF19DB">
      <w:pPr>
        <w:spacing w:after="0" w:line="560" w:lineRule="exact"/>
        <w:ind w:firstLine="632" w:firstLineChars="200"/>
        <w:textAlignment w:val="baseline"/>
        <w:rPr>
          <w:szCs w:val="32"/>
        </w:rPr>
      </w:pPr>
      <w:r>
        <w:rPr>
          <w:rFonts w:hint="eastAsia"/>
          <w:kern w:val="0"/>
          <w:szCs w:val="32"/>
        </w:rPr>
        <w:t>为认真贯彻中央、省委和温州市委经济工作会议决策部署，全面落实市委十五届七次全体</w:t>
      </w: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</w:rPr>
        <w:t>扩大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会议暨市委经济工作会议指示要求，增强宏观政策一致性，提振市场信心，</w:t>
      </w:r>
      <w:r>
        <w:rPr>
          <w:kern w:val="0"/>
          <w:szCs w:val="32"/>
        </w:rPr>
        <w:t>聚力打造</w:t>
      </w:r>
      <w:r>
        <w:rPr>
          <w:rFonts w:hint="eastAsia"/>
          <w:kern w:val="0"/>
          <w:szCs w:val="32"/>
        </w:rPr>
        <w:t>乐清高质量发展建设共同富裕示范区县域标杆，推动经济稳进向好发展。</w:t>
      </w:r>
      <w:r>
        <w:rPr>
          <w:rFonts w:hint="eastAsia"/>
          <w:szCs w:val="32"/>
          <w:lang w:bidi="ar"/>
        </w:rPr>
        <w:t>根据</w:t>
      </w:r>
      <w:r>
        <w:rPr>
          <w:szCs w:val="32"/>
          <w:lang w:bidi="ar"/>
        </w:rPr>
        <w:t>省</w:t>
      </w:r>
      <w:r>
        <w:rPr>
          <w:rFonts w:hint="eastAsia"/>
          <w:szCs w:val="32"/>
          <w:lang w:bidi="ar"/>
        </w:rPr>
        <w:t>级、温州市级《关于推动经济高质量发展的若干政策》，结合我市实际，现制定以下政策。</w:t>
      </w:r>
    </w:p>
    <w:p w14:paraId="34DCE1EE">
      <w:pPr>
        <w:spacing w:after="0" w:line="560" w:lineRule="exact"/>
        <w:ind w:firstLine="640"/>
        <w:textAlignment w:val="baseline"/>
        <w:rPr>
          <w:rFonts w:eastAsia="黑体"/>
          <w:szCs w:val="32"/>
        </w:rPr>
      </w:pPr>
      <w:r>
        <w:rPr>
          <w:rFonts w:hint="eastAsia" w:eastAsia="黑体"/>
          <w:szCs w:val="32"/>
          <w:lang w:bidi="ar"/>
        </w:rPr>
        <w:t>一</w:t>
      </w:r>
      <w:r>
        <w:rPr>
          <w:rFonts w:eastAsia="黑体"/>
          <w:szCs w:val="32"/>
          <w:lang w:bidi="ar"/>
        </w:rPr>
        <w:t>、</w:t>
      </w:r>
      <w:r>
        <w:rPr>
          <w:rFonts w:hint="eastAsia" w:eastAsia="黑体"/>
          <w:szCs w:val="32"/>
          <w:lang w:bidi="ar"/>
        </w:rPr>
        <w:t>强化科技创新</w:t>
      </w:r>
      <w:r>
        <w:rPr>
          <w:rFonts w:eastAsia="黑体"/>
          <w:szCs w:val="32"/>
          <w:lang w:bidi="ar"/>
        </w:rPr>
        <w:t>（</w:t>
      </w:r>
      <w:r>
        <w:rPr>
          <w:rFonts w:hint="eastAsia" w:eastAsia="黑体"/>
          <w:szCs w:val="32"/>
          <w:lang w:bidi="ar"/>
        </w:rPr>
        <w:t>市</w:t>
      </w:r>
      <w:r>
        <w:rPr>
          <w:rFonts w:eastAsia="黑体"/>
          <w:szCs w:val="32"/>
          <w:lang w:bidi="ar"/>
        </w:rPr>
        <w:t>科技</w:t>
      </w:r>
      <w:r>
        <w:rPr>
          <w:rFonts w:hint="eastAsia" w:eastAsia="黑体"/>
          <w:szCs w:val="32"/>
          <w:lang w:bidi="ar"/>
        </w:rPr>
        <w:t>局</w:t>
      </w:r>
      <w:r>
        <w:rPr>
          <w:rFonts w:eastAsia="黑体"/>
          <w:szCs w:val="32"/>
          <w:lang w:bidi="ar"/>
        </w:rPr>
        <w:t>牵头）</w:t>
      </w:r>
    </w:p>
    <w:p w14:paraId="1C38B14F">
      <w:pPr>
        <w:widowControl/>
        <w:adjustRightInd w:val="0"/>
        <w:snapToGrid w:val="0"/>
        <w:spacing w:after="0" w:line="560" w:lineRule="exact"/>
        <w:ind w:firstLine="632" w:firstLineChars="200"/>
        <w:textAlignment w:val="baseline"/>
        <w:rPr>
          <w:szCs w:val="32"/>
        </w:rPr>
      </w:pPr>
      <w:r>
        <w:rPr>
          <w:szCs w:val="32"/>
          <w:lang w:bidi="ar"/>
        </w:rPr>
        <w:t>持续擦亮国家首批创新型县（市）金名片，加快推进创新乐清建设，以教育科技人才一体改革发展为动力支撑，以强化科技创新与产业创新深度融合为关键路径，紧紧围绕创新深化和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315</w:t>
      </w:r>
      <w:r>
        <w:rPr>
          <w:rFonts w:hint="eastAsia"/>
          <w:szCs w:val="32"/>
          <w:lang w:eastAsia="zh-CN" w:bidi="ar"/>
        </w:rPr>
        <w:t>”</w:t>
      </w:r>
      <w:r>
        <w:rPr>
          <w:szCs w:val="32"/>
          <w:lang w:bidi="ar"/>
        </w:rPr>
        <w:t>科技创新体系建设，努力在以科技创新塑造发展新优势上走在前列，为推动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醉美之城·幸福乐清</w:t>
      </w:r>
      <w:r>
        <w:rPr>
          <w:rFonts w:hint="eastAsia"/>
          <w:szCs w:val="32"/>
          <w:lang w:eastAsia="zh-CN" w:bidi="ar"/>
        </w:rPr>
        <w:t>”</w:t>
      </w:r>
      <w:r>
        <w:rPr>
          <w:szCs w:val="32"/>
          <w:lang w:bidi="ar"/>
        </w:rPr>
        <w:t>夯实科创支撑。</w:t>
      </w:r>
      <w:r>
        <w:rPr>
          <w:rFonts w:hint="eastAsia"/>
          <w:szCs w:val="32"/>
        </w:rPr>
        <w:t>市级财政</w:t>
      </w:r>
      <w:r>
        <w:rPr>
          <w:szCs w:val="32"/>
        </w:rPr>
        <w:t>2025</w:t>
      </w:r>
      <w:r>
        <w:rPr>
          <w:rFonts w:hint="eastAsia"/>
          <w:szCs w:val="32"/>
        </w:rPr>
        <w:t>年预算安排资金</w:t>
      </w:r>
      <w:r>
        <w:rPr>
          <w:rFonts w:hint="default"/>
          <w:szCs w:val="32"/>
          <w:woUserID w:val="3"/>
        </w:rPr>
        <w:t>2.74</w:t>
      </w:r>
      <w:r>
        <w:rPr>
          <w:rFonts w:hint="eastAsia"/>
          <w:szCs w:val="32"/>
          <w:lang w:bidi="ar"/>
        </w:rPr>
        <w:t>亿元，力争全市研发投入强度达到</w:t>
      </w:r>
      <w:r>
        <w:rPr>
          <w:szCs w:val="28"/>
          <w:lang w:bidi="ar"/>
        </w:rPr>
        <w:t>3</w:t>
      </w:r>
      <w:r>
        <w:rPr>
          <w:rFonts w:hint="eastAsia"/>
          <w:szCs w:val="28"/>
          <w:lang w:bidi="ar"/>
        </w:rPr>
        <w:t>.12</w:t>
      </w:r>
      <w:r>
        <w:rPr>
          <w:szCs w:val="32"/>
          <w:lang w:bidi="ar"/>
        </w:rPr>
        <w:t>%</w:t>
      </w:r>
      <w:r>
        <w:rPr>
          <w:rFonts w:hint="eastAsia"/>
          <w:szCs w:val="32"/>
          <w:lang w:bidi="ar"/>
        </w:rPr>
        <w:t>左右。</w:t>
      </w:r>
    </w:p>
    <w:p w14:paraId="4C975071">
      <w:pPr>
        <w:pStyle w:val="32"/>
        <w:spacing w:after="0" w:line="560" w:lineRule="exact"/>
        <w:rPr>
          <w:rFonts w:ascii="Times New Roman" w:hAnsi="Times New Roman" w:eastAsia="楷体_GB2312"/>
          <w:szCs w:val="32"/>
          <w:highlight w:val="yellow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（一）加强创新载体建设。</w:t>
      </w:r>
      <w:r>
        <w:rPr>
          <w:rFonts w:hint="default" w:ascii="Times New Roman" w:hAnsi="Times New Roman"/>
          <w:szCs w:val="32"/>
          <w:lang w:bidi="ar"/>
        </w:rPr>
        <w:t>实施《乐清市大孵化器集群建设实施方案（</w:t>
      </w:r>
      <w:r>
        <w:rPr>
          <w:rFonts w:ascii="Times New Roman" w:hAnsi="Times New Roman"/>
          <w:szCs w:val="32"/>
          <w:lang w:bidi="ar"/>
        </w:rPr>
        <w:t>2024-2026</w:t>
      </w:r>
      <w:r>
        <w:rPr>
          <w:rFonts w:hint="default" w:ascii="Times New Roman" w:hAnsi="Times New Roman"/>
          <w:szCs w:val="32"/>
          <w:lang w:bidi="ar"/>
        </w:rPr>
        <w:t>年）》，构建</w:t>
      </w:r>
      <w:r>
        <w:rPr>
          <w:rFonts w:hint="eastAsia" w:ascii="Times New Roman" w:hAnsi="Times New Roman"/>
          <w:szCs w:val="32"/>
          <w:lang w:eastAsia="zh-CN" w:bidi="ar"/>
        </w:rPr>
        <w:t>“</w:t>
      </w:r>
      <w:r>
        <w:rPr>
          <w:rFonts w:hint="default" w:ascii="Times New Roman" w:hAnsi="Times New Roman"/>
          <w:szCs w:val="32"/>
          <w:lang w:bidi="ar"/>
        </w:rPr>
        <w:t>苗圃</w:t>
      </w:r>
      <w:r>
        <w:rPr>
          <w:rFonts w:hint="eastAsia" w:ascii="Times New Roman" w:hAnsi="Times New Roman"/>
          <w:szCs w:val="32"/>
          <w:lang w:eastAsia="zh-CN" w:bidi="ar"/>
        </w:rPr>
        <w:t>－</w:t>
      </w:r>
      <w:r>
        <w:rPr>
          <w:rFonts w:hint="default" w:ascii="Times New Roman" w:hAnsi="Times New Roman"/>
          <w:szCs w:val="32"/>
          <w:lang w:bidi="ar"/>
        </w:rPr>
        <w:t>孵化器</w:t>
      </w:r>
      <w:r>
        <w:rPr>
          <w:rFonts w:hint="eastAsia" w:ascii="Times New Roman" w:hAnsi="Times New Roman"/>
          <w:szCs w:val="32"/>
          <w:lang w:eastAsia="zh-CN" w:bidi="ar"/>
        </w:rPr>
        <w:t>－</w:t>
      </w:r>
      <w:r>
        <w:rPr>
          <w:rFonts w:hint="default" w:ascii="Times New Roman" w:hAnsi="Times New Roman"/>
          <w:szCs w:val="32"/>
          <w:lang w:bidi="ar"/>
        </w:rPr>
        <w:t>加速器</w:t>
      </w:r>
      <w:r>
        <w:rPr>
          <w:rFonts w:hint="eastAsia" w:ascii="Times New Roman" w:hAnsi="Times New Roman"/>
          <w:szCs w:val="32"/>
          <w:lang w:eastAsia="zh-CN" w:bidi="ar"/>
        </w:rPr>
        <w:t>－</w:t>
      </w:r>
      <w:r>
        <w:rPr>
          <w:rFonts w:hint="default" w:ascii="Times New Roman" w:hAnsi="Times New Roman"/>
          <w:szCs w:val="32"/>
          <w:lang w:bidi="ar"/>
        </w:rPr>
        <w:t>产业园</w:t>
      </w:r>
      <w:r>
        <w:rPr>
          <w:rFonts w:hint="eastAsia" w:ascii="Times New Roman" w:hAnsi="Times New Roman"/>
          <w:szCs w:val="32"/>
          <w:lang w:eastAsia="zh-CN" w:bidi="ar"/>
        </w:rPr>
        <w:t>”</w:t>
      </w:r>
      <w:r>
        <w:rPr>
          <w:rFonts w:hint="default" w:ascii="Times New Roman" w:hAnsi="Times New Roman"/>
          <w:szCs w:val="32"/>
          <w:lang w:bidi="ar"/>
        </w:rPr>
        <w:t>多层级孵化模式，支持有条件的科技企业孵化器争创国家级、省级科技企业孵化器。</w:t>
      </w:r>
      <w:r>
        <w:rPr>
          <w:rFonts w:hint="default" w:ascii="Times New Roman" w:hAnsi="Times New Roman" w:cs="Times New Roman"/>
          <w:woUserID w:val="8"/>
        </w:rPr>
        <w:t>新增高新技术企业</w:t>
      </w:r>
      <w:r>
        <w:rPr>
          <w:rFonts w:ascii="Times New Roman" w:hAnsi="Times New Roman" w:cs="Times New Roman"/>
          <w:woUserID w:val="8"/>
        </w:rPr>
        <w:t>75</w:t>
      </w:r>
      <w:r>
        <w:rPr>
          <w:rFonts w:hint="default" w:ascii="Times New Roman" w:hAnsi="Times New Roman" w:cs="Times New Roman"/>
          <w:woUserID w:val="8"/>
        </w:rPr>
        <w:t>家以上。</w:t>
      </w:r>
      <w:r>
        <w:rPr>
          <w:rFonts w:ascii="Times New Roman" w:hAnsi="Times New Roman" w:cs="Times New Roman"/>
          <w:szCs w:val="32"/>
          <w:lang w:bidi="ar"/>
        </w:rPr>
        <w:t>实施科创平台项目拨付制，支持科创平台针对企业技术攻关需求和自身研发需要设置项目课题，按项目开展情况拨付运营经费，促进科创平台联合企业更加聚焦项目研发、技术攻关等业务，提升科创平台的运作效率与灵活性。</w:t>
      </w:r>
      <w:r>
        <w:rPr>
          <w:rFonts w:hint="default" w:ascii="Times New Roman" w:hAnsi="Times New Roman"/>
          <w:szCs w:val="32"/>
        </w:rPr>
        <w:t>实施成果转化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default" w:ascii="Times New Roman" w:hAnsi="Times New Roman"/>
          <w:szCs w:val="32"/>
        </w:rPr>
        <w:t>双榜制</w:t>
      </w:r>
      <w:r>
        <w:rPr>
          <w:rFonts w:hint="eastAsia" w:ascii="Times New Roman" w:hAnsi="Times New Roman"/>
          <w:szCs w:val="32"/>
          <w:lang w:eastAsia="zh-CN"/>
        </w:rPr>
        <w:t>”</w:t>
      </w:r>
      <w:r>
        <w:rPr>
          <w:rFonts w:hint="default" w:ascii="Times New Roman" w:hAnsi="Times New Roman"/>
          <w:szCs w:val="32"/>
        </w:rPr>
        <w:t>，发挥乐清市科技成果转化基地作用，建立企业技术需求榜和院校技术供给榜并推进双榜匹配</w:t>
      </w:r>
      <w:r>
        <w:rPr>
          <w:rFonts w:hint="default" w:ascii="Times New Roman" w:hAnsi="Times New Roman"/>
          <w:szCs w:val="32"/>
          <w:lang w:bidi="ar"/>
        </w:rPr>
        <w:t>，</w:t>
      </w:r>
      <w:r>
        <w:rPr>
          <w:rFonts w:ascii="Times New Roman" w:hAnsi="Times New Roman"/>
          <w:szCs w:val="32"/>
          <w:lang w:bidi="ar"/>
        </w:rPr>
        <w:t>进一步提升科技成果转移转化质量和效益。</w:t>
      </w:r>
      <w:r>
        <w:rPr>
          <w:rFonts w:hint="default" w:ascii="Times New Roman" w:hAnsi="Times New Roman" w:eastAsia="楷体_GB2312"/>
          <w:szCs w:val="32"/>
          <w:lang w:bidi="ar"/>
        </w:rPr>
        <w:t>（责任单位：市科技局、市经信局）</w:t>
      </w:r>
    </w:p>
    <w:p w14:paraId="60A2534E">
      <w:pPr>
        <w:adjustRightInd w:val="0"/>
        <w:snapToGrid w:val="0"/>
        <w:spacing w:after="0" w:line="560" w:lineRule="exact"/>
        <w:ind w:firstLine="632" w:firstLineChars="200"/>
        <w:textAlignment w:val="baseline"/>
        <w:rPr>
          <w:rFonts w:eastAsia="楷体_GB2312"/>
          <w:szCs w:val="32"/>
          <w:highlight w:val="yellow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（二）支持开展关键核心技术攻关。</w:t>
      </w:r>
      <w:r>
        <w:rPr>
          <w:rFonts w:hint="eastAsia"/>
          <w:szCs w:val="32"/>
          <w:lang w:bidi="ar"/>
        </w:rPr>
        <w:t>积极组织申报省级重大科技项目，争取立项温州市级以上技术攻关项目10项以上，</w:t>
      </w:r>
      <w:r>
        <w:rPr>
          <w:szCs w:val="32"/>
          <w:lang w:bidi="ar"/>
        </w:rPr>
        <w:t>实施科创强基项目2项，</w:t>
      </w:r>
      <w:r>
        <w:rPr>
          <w:rFonts w:hint="eastAsia"/>
          <w:szCs w:val="32"/>
          <w:lang w:bidi="ar"/>
        </w:rPr>
        <w:t>企业牵头或参与的科技重大项目占比不低于</w:t>
      </w:r>
      <w:r>
        <w:rPr>
          <w:szCs w:val="32"/>
          <w:lang w:bidi="ar"/>
        </w:rPr>
        <w:t>80%</w:t>
      </w:r>
      <w:r>
        <w:rPr>
          <w:rFonts w:hint="eastAsia"/>
          <w:szCs w:val="32"/>
          <w:lang w:bidi="ar"/>
        </w:rPr>
        <w:t>。</w:t>
      </w:r>
      <w:r>
        <w:rPr>
          <w:rFonts w:hint="eastAsia" w:eastAsia="楷体_GB2312"/>
          <w:szCs w:val="32"/>
          <w:lang w:bidi="ar"/>
        </w:rPr>
        <w:t>（责任单位：市科技局、市财政局）</w:t>
      </w:r>
    </w:p>
    <w:p w14:paraId="7BF32D91">
      <w:pPr>
        <w:adjustRightInd w:val="0"/>
        <w:snapToGrid w:val="0"/>
        <w:spacing w:after="0" w:line="560" w:lineRule="exact"/>
        <w:ind w:firstLine="632" w:firstLineChars="200"/>
        <w:textAlignment w:val="baseline"/>
        <w:rPr>
          <w:rFonts w:eastAsia="楷体_GB2312"/>
          <w:lang w:bidi="ar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（三）打通人才有序流动通道。</w:t>
      </w:r>
      <w:r>
        <w:rPr>
          <w:szCs w:val="32"/>
          <w:lang w:bidi="ar"/>
        </w:rPr>
        <w:t>市财政安排</w:t>
      </w:r>
      <w:r>
        <w:rPr>
          <w:szCs w:val="32"/>
          <w:lang w:bidi="ar"/>
          <w:woUserID w:val="3"/>
        </w:rPr>
        <w:t>0.88</w:t>
      </w:r>
      <w:r>
        <w:rPr>
          <w:szCs w:val="32"/>
          <w:lang w:bidi="ar"/>
        </w:rPr>
        <w:t>亿元支持高层次人才引育，对紧缺急需的高层次人才统筹考虑，足额保障。贯彻落实温州市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人才新政40条</w:t>
      </w:r>
      <w:r>
        <w:rPr>
          <w:rFonts w:hint="eastAsia"/>
          <w:szCs w:val="32"/>
          <w:lang w:eastAsia="zh-CN" w:bidi="ar"/>
        </w:rPr>
        <w:t>”</w:t>
      </w:r>
      <w:r>
        <w:rPr>
          <w:szCs w:val="32"/>
          <w:lang w:bidi="ar"/>
        </w:rPr>
        <w:t>5.0版，支持人才有序流动、区域共享，持续深化人才评价机制改革。建立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高校+平台+企业+产业链</w:t>
      </w:r>
      <w:r>
        <w:rPr>
          <w:rFonts w:hint="eastAsia"/>
          <w:szCs w:val="32"/>
          <w:lang w:eastAsia="zh-CN" w:bidi="ar"/>
        </w:rPr>
        <w:t>”</w:t>
      </w:r>
      <w:r>
        <w:rPr>
          <w:szCs w:val="32"/>
          <w:lang w:bidi="ar"/>
        </w:rPr>
        <w:t>结对合作机制，深化以科技副总、产业教授为重点的人才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区域互聘共享</w:t>
      </w:r>
      <w:r>
        <w:rPr>
          <w:rFonts w:hint="eastAsia"/>
          <w:szCs w:val="32"/>
          <w:lang w:eastAsia="zh-CN" w:bidi="ar"/>
        </w:rPr>
        <w:t>”</w:t>
      </w:r>
      <w:r>
        <w:rPr>
          <w:szCs w:val="32"/>
          <w:lang w:bidi="ar"/>
        </w:rPr>
        <w:t>改革。积极承接做好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瓯越英才计划</w:t>
      </w:r>
      <w:r>
        <w:rPr>
          <w:rFonts w:hint="eastAsia"/>
          <w:szCs w:val="32"/>
          <w:lang w:eastAsia="zh-CN" w:bidi="ar"/>
        </w:rPr>
        <w:t>”</w:t>
      </w:r>
      <w:r>
        <w:rPr>
          <w:szCs w:val="32"/>
          <w:lang w:bidi="ar"/>
        </w:rPr>
        <w:t>E类人才项目自主遴选工作，新增卓越工程师5人。乐清市级以上人才计划中企业创新人才、创业人才、流动共享人才的支持比例达到50%以上，其中市级以上引进类人才项目有企业工作经历、工程实践经验的支持对象比例达到50%以上。积极谋划推进国际人才社区等建设，优化海外人才来乐便利化服务。对入选浙江省领军型创新团队的单位，按规定给予团队建设资助。</w:t>
      </w:r>
      <w:r>
        <w:rPr>
          <w:rFonts w:hint="eastAsia" w:eastAsia="楷体_GB2312"/>
          <w:szCs w:val="32"/>
          <w:lang w:bidi="ar"/>
        </w:rPr>
        <w:t>（责任单位：市委组织部〈市委人才办〉、市经信局、市教育局、市科技局、市人力社保局、市财政局）</w:t>
      </w:r>
    </w:p>
    <w:p w14:paraId="6FE8C800">
      <w:pPr>
        <w:adjustRightInd w:val="0"/>
        <w:snapToGrid w:val="0"/>
        <w:spacing w:after="0" w:line="560" w:lineRule="exact"/>
        <w:ind w:firstLine="632" w:firstLineChars="200"/>
        <w:textAlignment w:val="baseline"/>
        <w:rPr>
          <w:lang w:bidi="ar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（四）做深做实科技金融大文章。</w:t>
      </w:r>
      <w:r>
        <w:rPr>
          <w:szCs w:val="32"/>
          <w:lang w:bidi="ar"/>
        </w:rPr>
        <w:t>发挥政府产业基金引领作用，联动推进市重点产业基金建设。2025年新增产业基金投资项目</w:t>
      </w:r>
      <w:r>
        <w:rPr>
          <w:rFonts w:hint="eastAsia"/>
          <w:szCs w:val="32"/>
          <w:lang w:val="en-US" w:eastAsia="zh-CN" w:bidi="ar"/>
        </w:rPr>
        <w:t>5</w:t>
      </w:r>
      <w:r>
        <w:rPr>
          <w:szCs w:val="32"/>
          <w:lang w:bidi="ar"/>
        </w:rPr>
        <w:t>个，充分发挥产业基金释放创业投资动能，赋能产业发展的引领撬动作用</w:t>
      </w:r>
      <w:r>
        <w:rPr>
          <w:rFonts w:hint="eastAsia"/>
          <w:szCs w:val="32"/>
          <w:lang w:bidi="ar"/>
        </w:rPr>
        <w:t>。鼓励高新技术企业购买科技研发、成果转化风险类科技保险。发展耐心资本，引导资本投早、投小、投长期、投硬科技。支持保险和担保机构开发专门产品，提供重大技术攻关和科技成果转化的风险减量服务。</w:t>
      </w:r>
      <w:r>
        <w:rPr>
          <w:rFonts w:hint="default" w:ascii="Times New Roman" w:eastAsia="楷体_GB2312"/>
          <w:szCs w:val="32"/>
          <w:lang w:bidi="ar"/>
        </w:rPr>
        <w:t>（责任单位：市科技局、市财政局、市国有资本运营集团、市金融工作服务中心、人行乐清营管部、国家金融监督管理总局乐清监管支局）</w:t>
      </w:r>
    </w:p>
    <w:p w14:paraId="0CB1D8EA">
      <w:pPr>
        <w:pStyle w:val="32"/>
        <w:spacing w:after="0" w:line="560" w:lineRule="exact"/>
        <w:ind w:firstLine="632"/>
        <w:textAlignment w:val="baseline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</w:t>
      </w:r>
      <w:r>
        <w:rPr>
          <w:rFonts w:ascii="Times New Roman" w:hAnsi="Times New Roman" w:eastAsia="黑体"/>
        </w:rPr>
        <w:t>、</w:t>
      </w:r>
      <w:r>
        <w:rPr>
          <w:rFonts w:hint="eastAsia" w:ascii="Times New Roman" w:hAnsi="Times New Roman" w:eastAsia="黑体"/>
        </w:rPr>
        <w:t>加快先进制造业发展</w:t>
      </w:r>
      <w:r>
        <w:rPr>
          <w:rFonts w:ascii="Times New Roman" w:hAnsi="Times New Roman" w:eastAsia="黑体"/>
        </w:rPr>
        <w:t>（</w:t>
      </w:r>
      <w:r>
        <w:rPr>
          <w:rFonts w:hint="eastAsia" w:ascii="Times New Roman" w:hAnsi="Times New Roman" w:eastAsia="黑体"/>
        </w:rPr>
        <w:t>市</w:t>
      </w:r>
      <w:r>
        <w:rPr>
          <w:rFonts w:ascii="Times New Roman" w:hAnsi="Times New Roman" w:eastAsia="黑体"/>
        </w:rPr>
        <w:t>经信</w:t>
      </w:r>
      <w:r>
        <w:rPr>
          <w:rFonts w:hint="eastAsia" w:ascii="Times New Roman" w:hAnsi="Times New Roman" w:eastAsia="黑体"/>
        </w:rPr>
        <w:t>局</w:t>
      </w:r>
      <w:r>
        <w:rPr>
          <w:rFonts w:ascii="Times New Roman" w:hAnsi="Times New Roman" w:eastAsia="黑体"/>
        </w:rPr>
        <w:t>牵头）</w:t>
      </w:r>
    </w:p>
    <w:p w14:paraId="7062837A">
      <w:pPr>
        <w:pStyle w:val="32"/>
        <w:spacing w:after="0" w:line="560" w:lineRule="exact"/>
        <w:ind w:firstLine="632"/>
        <w:textAlignment w:val="baseline"/>
        <w:rPr>
          <w:rFonts w:hint="default" w:ascii="Times New Roman" w:hAnsi="Times New Roman" w:cs="Times New Roman"/>
          <w:lang w:bidi="ar"/>
        </w:rPr>
      </w:pPr>
      <w:r>
        <w:rPr>
          <w:rFonts w:hint="default" w:ascii="Times New Roman" w:hAnsi="Times New Roman" w:cs="Times New Roman"/>
          <w:lang w:bidi="ar"/>
        </w:rPr>
        <w:t>深入实施</w:t>
      </w:r>
      <w:r>
        <w:rPr>
          <w:rFonts w:hint="eastAsia" w:ascii="Times New Roman" w:hAnsi="Times New Roman" w:cs="Times New Roman"/>
          <w:lang w:eastAsia="zh-CN" w:bidi="ar"/>
        </w:rPr>
        <w:t>“</w:t>
      </w:r>
      <w:r>
        <w:rPr>
          <w:rFonts w:ascii="Times New Roman" w:hAnsi="Times New Roman" w:cs="Times New Roman"/>
          <w:lang w:bidi="ar"/>
        </w:rPr>
        <w:t>415X</w:t>
      </w:r>
      <w:r>
        <w:rPr>
          <w:rFonts w:hint="eastAsia" w:ascii="Times New Roman" w:hAnsi="Times New Roman" w:cs="Times New Roman"/>
          <w:lang w:eastAsia="zh-CN" w:bidi="ar"/>
        </w:rPr>
        <w:t>”</w:t>
      </w:r>
      <w:r>
        <w:rPr>
          <w:rFonts w:hint="default" w:ascii="Times New Roman" w:hAnsi="Times New Roman" w:cs="Times New Roman"/>
          <w:lang w:bidi="ar"/>
        </w:rPr>
        <w:t>先进制造业集群培育工程，深入开展</w:t>
      </w:r>
      <w:r>
        <w:rPr>
          <w:rFonts w:hint="eastAsia" w:ascii="Times New Roman" w:hAnsi="Times New Roman" w:cs="Times New Roman"/>
          <w:lang w:eastAsia="zh-CN" w:bidi="ar"/>
        </w:rPr>
        <w:t>“</w:t>
      </w:r>
      <w:r>
        <w:rPr>
          <w:rFonts w:hint="default" w:ascii="Times New Roman" w:hAnsi="Times New Roman" w:cs="Times New Roman"/>
          <w:lang w:bidi="ar"/>
        </w:rPr>
        <w:t>1+4+N</w:t>
      </w:r>
      <w:r>
        <w:rPr>
          <w:rFonts w:hint="eastAsia" w:ascii="Times New Roman" w:hAnsi="Times New Roman" w:cs="Times New Roman"/>
          <w:lang w:eastAsia="zh-CN" w:bidi="ar"/>
        </w:rPr>
        <w:t>”</w:t>
      </w:r>
      <w:r>
        <w:rPr>
          <w:rFonts w:hint="default" w:ascii="Times New Roman" w:hAnsi="Times New Roman" w:cs="Times New Roman"/>
          <w:lang w:bidi="ar"/>
        </w:rPr>
        <w:t>重点产业培育攻坚，推动数字经济和实体经济深度融合，加快构建乐清特色现代化产业体系。市级财政</w:t>
      </w:r>
      <w:r>
        <w:rPr>
          <w:rFonts w:ascii="Times New Roman" w:hAnsi="Times New Roman" w:cs="Times New Roman"/>
          <w:lang w:bidi="ar"/>
        </w:rPr>
        <w:t>2025</w:t>
      </w:r>
      <w:r>
        <w:rPr>
          <w:rFonts w:hint="default" w:ascii="Times New Roman" w:hAnsi="Times New Roman" w:cs="Times New Roman"/>
          <w:lang w:bidi="ar"/>
        </w:rPr>
        <w:t>年预算安排资金</w:t>
      </w:r>
      <w:r>
        <w:rPr>
          <w:rFonts w:hint="default" w:ascii="Times New Roman" w:hAnsi="Times New Roman" w:cs="Times New Roman"/>
          <w:lang w:bidi="ar"/>
          <w:woUserID w:val="3"/>
        </w:rPr>
        <w:t>1.72</w:t>
      </w:r>
      <w:r>
        <w:rPr>
          <w:rFonts w:hint="default" w:ascii="Times New Roman" w:hAnsi="Times New Roman" w:cs="Times New Roman"/>
          <w:lang w:bidi="ar"/>
        </w:rPr>
        <w:t>亿元。其中，重点支持企业高质量发展</w:t>
      </w:r>
      <w:r>
        <w:rPr>
          <w:rFonts w:hint="default" w:ascii="Times New Roman" w:hAnsi="Times New Roman" w:cs="Times New Roman"/>
          <w:lang w:bidi="ar"/>
          <w:woUserID w:val="3"/>
        </w:rPr>
        <w:t>1.32</w:t>
      </w:r>
      <w:r>
        <w:rPr>
          <w:rFonts w:hint="default" w:ascii="Times New Roman" w:hAnsi="Times New Roman" w:cs="Times New Roman"/>
          <w:lang w:bidi="ar"/>
        </w:rPr>
        <w:t>亿元，产业基金撬动产业发展</w:t>
      </w:r>
      <w:r>
        <w:rPr>
          <w:rFonts w:ascii="Times New Roman" w:hAnsi="Times New Roman" w:cs="Times New Roman"/>
          <w:lang w:bidi="ar"/>
        </w:rPr>
        <w:t>0.4</w:t>
      </w:r>
      <w:r>
        <w:rPr>
          <w:rFonts w:hint="default" w:ascii="Times New Roman" w:hAnsi="Times New Roman" w:cs="Times New Roman"/>
          <w:lang w:bidi="ar"/>
        </w:rPr>
        <w:t>亿元。全市规上工业增加值增长</w:t>
      </w:r>
      <w:r>
        <w:rPr>
          <w:rFonts w:hint="default" w:ascii="Times New Roman" w:hAnsi="Times New Roman" w:cs="Times New Roman"/>
          <w:lang w:bidi="ar"/>
          <w:woUserID w:val="1"/>
        </w:rPr>
        <w:t>10</w:t>
      </w:r>
      <w:r>
        <w:rPr>
          <w:rFonts w:ascii="Times New Roman" w:hAnsi="Times New Roman" w:cs="Times New Roman"/>
          <w:lang w:bidi="ar"/>
        </w:rPr>
        <w:t>%</w:t>
      </w:r>
      <w:r>
        <w:rPr>
          <w:rFonts w:ascii="Times New Roman" w:hAnsi="Times New Roman" w:cs="Times New Roman"/>
          <w:lang w:bidi="ar"/>
          <w:woUserID w:val="1"/>
        </w:rPr>
        <w:t>以上</w:t>
      </w:r>
      <w:r>
        <w:rPr>
          <w:rFonts w:hint="default" w:ascii="Times New Roman" w:hAnsi="Times New Roman" w:cs="Times New Roman"/>
          <w:lang w:bidi="ar"/>
        </w:rPr>
        <w:t>，数字经济核心产业增加值增长</w:t>
      </w:r>
      <w:r>
        <w:rPr>
          <w:rFonts w:ascii="Times New Roman" w:hAnsi="Times New Roman" w:cs="Times New Roman"/>
          <w:lang w:bidi="ar"/>
        </w:rPr>
        <w:t>9%</w:t>
      </w:r>
      <w:r>
        <w:rPr>
          <w:rFonts w:hint="default" w:ascii="Times New Roman" w:hAnsi="Times New Roman" w:cs="Times New Roman"/>
          <w:lang w:bidi="ar"/>
        </w:rPr>
        <w:t>左右</w:t>
      </w:r>
      <w:r>
        <w:rPr>
          <w:rFonts w:hint="eastAsia" w:ascii="Times New Roman" w:hAnsi="Times New Roman" w:cs="Times New Roman"/>
          <w:lang w:eastAsia="zh-CN" w:bidi="ar"/>
        </w:rPr>
        <w:t>。“</w:t>
      </w:r>
      <w:r>
        <w:rPr>
          <w:rFonts w:ascii="Times New Roman" w:hAnsi="Times New Roman" w:cs="Times New Roman"/>
          <w:lang w:bidi="ar"/>
        </w:rPr>
        <w:t>415X</w:t>
      </w:r>
      <w:r>
        <w:rPr>
          <w:rFonts w:hint="eastAsia" w:ascii="Times New Roman" w:hAnsi="Times New Roman" w:cs="Times New Roman"/>
          <w:lang w:eastAsia="zh-CN" w:bidi="ar"/>
        </w:rPr>
        <w:t>”</w:t>
      </w:r>
      <w:r>
        <w:rPr>
          <w:rFonts w:hint="default" w:ascii="Times New Roman" w:hAnsi="Times New Roman" w:cs="Times New Roman"/>
          <w:lang w:bidi="ar"/>
        </w:rPr>
        <w:t>先进制造业集群相关人才入选人才计划比例不低于</w:t>
      </w:r>
      <w:r>
        <w:rPr>
          <w:rFonts w:ascii="Times New Roman" w:hAnsi="Times New Roman" w:cs="Times New Roman"/>
          <w:lang w:bidi="ar"/>
        </w:rPr>
        <w:t>60%</w:t>
      </w:r>
      <w:r>
        <w:rPr>
          <w:rFonts w:hint="default" w:ascii="Times New Roman" w:hAnsi="Times New Roman" w:cs="Times New Roman"/>
          <w:lang w:bidi="ar"/>
        </w:rPr>
        <w:t>。</w:t>
      </w:r>
    </w:p>
    <w:p w14:paraId="700DA6EC">
      <w:pPr>
        <w:pStyle w:val="32"/>
        <w:adjustRightInd w:val="0"/>
        <w:snapToGrid w:val="0"/>
        <w:spacing w:after="0" w:line="560" w:lineRule="exact"/>
        <w:ind w:firstLine="632"/>
        <w:textAlignment w:val="baseline"/>
        <w:rPr>
          <w:rFonts w:ascii="Times New Roman" w:hAnsi="Times New Roman" w:eastAsia="楷体_GB2312"/>
          <w:lang w:bidi="ar"/>
        </w:rPr>
      </w:pPr>
      <w:r>
        <w:rPr>
          <w:rFonts w:hint="default" w:ascii="Times New Roman" w:hAnsi="Times New Roman" w:eastAsia="楷体_GB2312"/>
          <w:lang w:bidi="ar"/>
        </w:rPr>
        <w:t>（五）因地制宜布局新质生产力产业赛道。</w:t>
      </w:r>
      <w:r>
        <w:rPr>
          <w:rFonts w:hint="default" w:ascii="Times New Roman" w:hAnsi="Times New Roman" w:cs="Times New Roman"/>
          <w:lang w:bidi="ar"/>
        </w:rPr>
        <w:t>构筑以电气产业为主，智能物联、新能源、新材料、智能装备等新兴产业协同发展的现代化产业体系。加快电气产业向智能电气、新能源装备、智能微电网、智能家居等领域发展；培育发展智能物联产业，发展汽车电子</w:t>
      </w:r>
      <w:r>
        <w:rPr>
          <w:rFonts w:hint="eastAsia" w:ascii="Times New Roman" w:hAnsi="Times New Roman" w:cs="Times New Roman"/>
          <w:lang w:eastAsia="zh-CN" w:bidi="ar"/>
        </w:rPr>
        <w:t>、新</w:t>
      </w:r>
      <w:r>
        <w:rPr>
          <w:rFonts w:hint="default" w:ascii="Times New Roman" w:hAnsi="Times New Roman" w:cs="Times New Roman"/>
          <w:lang w:bidi="ar"/>
        </w:rPr>
        <w:t>能源电子、通讯电子、集成电路、物联传感等细分产业；培育发展新能源产业，突出光伏、风电、储能、氢能、充电桩等细分领域；培育发展新材料产业，重点培育高端电气新材料、高性能金属材料及合金、新型硬质合金及制品、电子信息功能材料等重点领域；培育发展智能装备产业，重点发展工业机器人、数控加工中心、大型矿用设备、自动装配、视觉检测、激光切割焊接等高端装备。</w:t>
      </w:r>
      <w:r>
        <w:rPr>
          <w:rFonts w:hint="eastAsia" w:ascii="Times New Roman" w:hAnsi="Times New Roman" w:eastAsia="楷体_GB2312"/>
          <w:lang w:bidi="ar"/>
        </w:rPr>
        <w:t>（责任单位：市经信局、</w:t>
      </w:r>
      <w:r>
        <w:rPr>
          <w:rFonts w:hint="default" w:ascii="Times New Roman" w:hAnsi="Times New Roman" w:eastAsia="楷体_GB2312"/>
          <w:lang w:bidi="ar"/>
        </w:rPr>
        <w:t>市发改局</w:t>
      </w:r>
      <w:r>
        <w:rPr>
          <w:rFonts w:hint="eastAsia" w:ascii="Times New Roman" w:hAnsi="Times New Roman" w:eastAsia="楷体_GB2312"/>
          <w:lang w:bidi="ar"/>
        </w:rPr>
        <w:t>、市科技局、</w:t>
      </w:r>
      <w:r>
        <w:rPr>
          <w:rFonts w:hint="default" w:ascii="Times New Roman" w:hAnsi="Times New Roman" w:eastAsia="楷体_GB2312"/>
          <w:lang w:bidi="ar"/>
        </w:rPr>
        <w:t>市大数据管理中心</w:t>
      </w:r>
      <w:r>
        <w:rPr>
          <w:rFonts w:hint="eastAsia" w:ascii="Times New Roman" w:hAnsi="Times New Roman" w:eastAsia="楷体_GB2312"/>
          <w:lang w:bidi="ar"/>
        </w:rPr>
        <w:t>）</w:t>
      </w:r>
    </w:p>
    <w:p w14:paraId="1D9680D6">
      <w:pPr>
        <w:adjustRightInd w:val="0"/>
        <w:snapToGrid w:val="0"/>
        <w:spacing w:after="0" w:line="560" w:lineRule="exact"/>
        <w:ind w:firstLine="632" w:firstLineChars="200"/>
        <w:textAlignment w:val="baseline"/>
        <w:rPr>
          <w:rFonts w:eastAsia="楷体_GB2312"/>
          <w:szCs w:val="32"/>
          <w:lang w:bidi="ar"/>
        </w:rPr>
      </w:pPr>
      <w:r>
        <w:rPr>
          <w:rFonts w:hint="default" w:ascii="Times New Roman" w:hAnsi="Times New Roman" w:eastAsia="楷体_GB2312"/>
          <w:szCs w:val="32"/>
          <w:lang w:bidi="ar"/>
        </w:rPr>
        <w:t>（六）支持推动工业领域设备更新和技术改造。</w:t>
      </w:r>
      <w:r>
        <w:rPr>
          <w:lang w:bidi="ar"/>
        </w:rPr>
        <w:t>调整优化市级财政资金支持重点，更加聚焦支持工业重点行业设备更新示范等项目</w:t>
      </w:r>
      <w:r>
        <w:rPr>
          <w:rFonts w:hint="eastAsia"/>
        </w:rPr>
        <w:t>。</w:t>
      </w:r>
      <w:r>
        <w:rPr>
          <w:rFonts w:hint="eastAsia"/>
          <w:szCs w:val="32"/>
        </w:rPr>
        <w:t>发挥技术改造和设备更</w:t>
      </w:r>
      <w:r>
        <w:rPr>
          <w:rFonts w:hint="default" w:ascii="Times New Roman" w:hAnsi="Times New Roman" w:cs="Times New Roman"/>
          <w:szCs w:val="32"/>
        </w:rPr>
        <w:t>新再贷款金融工具引导，持续提升制造业领域绿色贷款、中长期贷款投放力度。</w:t>
      </w:r>
      <w:r>
        <w:rPr>
          <w:rFonts w:hint="default" w:ascii="Times New Roman" w:hAnsi="Times New Roman" w:cs="Times New Roman"/>
          <w:szCs w:val="32"/>
          <w:lang w:bidi="ar"/>
        </w:rPr>
        <w:t>对新获批的国家级、省级绿色工厂，</w:t>
      </w:r>
      <w:r>
        <w:rPr>
          <w:rFonts w:hint="default" w:ascii="Times New Roman" w:hAnsi="Times New Roman" w:cs="Times New Roman"/>
          <w:szCs w:val="32"/>
          <w:lang w:bidi="ar"/>
          <w:woUserID w:val="7"/>
        </w:rPr>
        <w:t>按照规定给予奖励</w:t>
      </w:r>
      <w:r>
        <w:rPr>
          <w:rFonts w:hint="default" w:ascii="Times New Roman" w:hAnsi="Times New Roman" w:cs="Times New Roman"/>
          <w:szCs w:val="32"/>
          <w:lang w:bidi="ar"/>
        </w:rPr>
        <w:t>。鼓励有条件的设备更新企业申报工信领域超长期特别国债、中央再贷款贴息补助等</w:t>
      </w:r>
      <w:r>
        <w:rPr>
          <w:rFonts w:hint="eastAsia" w:cs="Times New Roman"/>
          <w:szCs w:val="32"/>
          <w:lang w:eastAsia="zh-CN" w:bidi="ar"/>
        </w:rPr>
        <w:t>“</w:t>
      </w:r>
      <w:r>
        <w:rPr>
          <w:rFonts w:hint="default" w:ascii="Times New Roman" w:hAnsi="Times New Roman" w:cs="Times New Roman"/>
          <w:szCs w:val="32"/>
          <w:lang w:bidi="ar"/>
        </w:rPr>
        <w:t>两新</w:t>
      </w:r>
      <w:r>
        <w:rPr>
          <w:rFonts w:hint="eastAsia" w:cs="Times New Roman"/>
          <w:szCs w:val="32"/>
          <w:lang w:eastAsia="zh-CN" w:bidi="ar"/>
        </w:rPr>
        <w:t>”</w:t>
      </w:r>
      <w:r>
        <w:rPr>
          <w:rFonts w:hint="default" w:ascii="Times New Roman" w:hAnsi="Times New Roman" w:cs="Times New Roman"/>
          <w:szCs w:val="32"/>
          <w:lang w:bidi="ar"/>
        </w:rPr>
        <w:t>优惠政策。</w:t>
      </w:r>
      <w:r>
        <w:rPr>
          <w:rFonts w:hint="eastAsia" w:eastAsia="楷体_GB2312"/>
          <w:szCs w:val="32"/>
          <w:lang w:bidi="ar"/>
        </w:rPr>
        <w:t>（责任单位：市经信局、市科技局、人行乐清营管部、国家金融监督管理总局乐清监管支局）</w:t>
      </w:r>
    </w:p>
    <w:p w14:paraId="035821A8">
      <w:pPr>
        <w:adjustRightInd w:val="0"/>
        <w:snapToGrid w:val="0"/>
        <w:spacing w:after="0" w:line="560" w:lineRule="exact"/>
        <w:ind w:firstLine="632" w:firstLineChars="200"/>
        <w:textAlignment w:val="baseline"/>
        <w:rPr>
          <w:rFonts w:ascii="Times New Roman" w:eastAsia="楷体_GB2312"/>
          <w:szCs w:val="32"/>
        </w:rPr>
      </w:pPr>
      <w:r>
        <w:rPr>
          <w:rFonts w:hint="default" w:ascii="Times New Roman" w:hAnsi="Times New Roman" w:eastAsia="楷体_GB2312"/>
          <w:szCs w:val="32"/>
          <w:lang w:bidi="ar"/>
        </w:rPr>
        <w:t>（七）支持企业加大研发投入。</w:t>
      </w:r>
      <w:r>
        <w:rPr>
          <w:rFonts w:hint="eastAsia"/>
          <w:szCs w:val="32"/>
        </w:rPr>
        <w:t>继续落实企业研发费用加计扣除、高新技术企业所得税减免税收优惠等政策。支持企业建立研发准备金制度。</w:t>
      </w:r>
      <w:r>
        <w:rPr>
          <w:rFonts w:hint="eastAsia"/>
          <w:szCs w:val="32"/>
          <w:lang w:bidi="ar"/>
        </w:rPr>
        <w:t>选派科技副总入驻企业</w:t>
      </w:r>
      <w:r>
        <w:rPr>
          <w:szCs w:val="32"/>
          <w:lang w:bidi="ar"/>
        </w:rPr>
        <w:t>30</w:t>
      </w:r>
      <w:r>
        <w:rPr>
          <w:rFonts w:hint="eastAsia"/>
          <w:szCs w:val="32"/>
          <w:lang w:bidi="ar"/>
        </w:rPr>
        <w:t>家以上，深化助企结对合作。</w:t>
      </w:r>
      <w:r>
        <w:rPr>
          <w:rFonts w:hint="default" w:ascii="Times New Roman" w:eastAsia="楷体_GB2312"/>
          <w:szCs w:val="32"/>
          <w:lang w:bidi="ar"/>
        </w:rPr>
        <w:t>（责任单位：市科技局、市经信局、市财政局、市税务局）</w:t>
      </w:r>
    </w:p>
    <w:p w14:paraId="16BC026B">
      <w:pPr>
        <w:pStyle w:val="32"/>
        <w:spacing w:after="0" w:line="560" w:lineRule="exact"/>
        <w:ind w:firstLine="632"/>
        <w:textAlignment w:val="baseline"/>
        <w:rPr>
          <w:rFonts w:ascii="Times New Roman" w:hAnsi="Times New Roman" w:eastAsia="楷体_GB2312"/>
          <w:lang w:bidi="ar"/>
        </w:rPr>
      </w:pPr>
      <w:r>
        <w:rPr>
          <w:rFonts w:hint="default" w:ascii="Times New Roman" w:hAnsi="Times New Roman" w:eastAsia="楷体_GB2312"/>
          <w:lang w:bidi="ar"/>
        </w:rPr>
        <w:t>（八）加快数实融合发展。</w:t>
      </w:r>
      <w:r>
        <w:rPr>
          <w:rFonts w:hint="default" w:ascii="Times New Roman" w:hAnsi="Times New Roman"/>
          <w:lang w:bidi="ar"/>
        </w:rPr>
        <w:t>实施制造业数字化转型行动，打造一批制造业数字化转型示范项目</w:t>
      </w:r>
      <w:r>
        <w:rPr>
          <w:rFonts w:hint="default" w:ascii="Times New Roman" w:hAnsi="Times New Roman"/>
          <w:lang w:bidi="ar"/>
          <w:woUserID w:val="9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  <w:woUserID w:val="9"/>
        </w:rPr>
        <w:t>探索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  <w:woUserID w:val="9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  <w:woUserID w:val="9"/>
        </w:rPr>
        <w:t>点线面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  <w:woUserID w:val="9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  <w:woUserID w:val="9"/>
        </w:rPr>
        <w:t>结合推进数字化改造，推进产业集群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  <w:woUserID w:val="9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  <w:woUserID w:val="9"/>
        </w:rPr>
        <w:t>链式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  <w:woUserID w:val="9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  <w:woUserID w:val="9"/>
        </w:rPr>
        <w:t>协同化数改，大力推广低成本、易部署、云服务的应用场景和解决方案</w:t>
      </w:r>
      <w:r>
        <w:rPr>
          <w:rFonts w:hint="default" w:ascii="Times New Roman" w:hAnsi="Times New Roman"/>
          <w:lang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  <w:woUserID w:val="9"/>
        </w:rPr>
        <w:t>加快建设一批行业级、企业级工业互联网平台，引导大企业建平台，鼓励中小企业积极上平台、用平台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  <w:woUserID w:val="9"/>
        </w:rPr>
        <w:t>。</w:t>
      </w:r>
      <w:r>
        <w:rPr>
          <w:rFonts w:hint="default" w:ascii="Times New Roman" w:hAnsi="Times New Roman"/>
          <w:lang w:bidi="ar"/>
        </w:rPr>
        <w:t>2025年，新增</w:t>
      </w:r>
      <w:r>
        <w:rPr>
          <w:rFonts w:hint="default" w:ascii="Times New Roman" w:hAnsi="Times New Roman"/>
          <w:lang w:bidi="ar"/>
          <w:woUserID w:val="9"/>
        </w:rPr>
        <w:t>省</w:t>
      </w:r>
      <w:r>
        <w:rPr>
          <w:rFonts w:hint="eastAsia" w:ascii="Times New Roman" w:hAnsi="Times New Roman"/>
          <w:lang w:val="en-US" w:eastAsia="zh-CN" w:bidi="ar"/>
          <w:woUserID w:val="9"/>
        </w:rPr>
        <w:t>级</w:t>
      </w:r>
      <w:r>
        <w:rPr>
          <w:rFonts w:hint="eastAsia" w:ascii="Times New Roman" w:hAnsi="Times New Roman"/>
          <w:lang w:eastAsia="zh-CN" w:bidi="ar"/>
          <w:woUserID w:val="9"/>
        </w:rPr>
        <w:t>、</w:t>
      </w:r>
      <w:r>
        <w:rPr>
          <w:rFonts w:hint="eastAsia" w:ascii="Times New Roman" w:hAnsi="Times New Roman"/>
          <w:lang w:val="en-US" w:eastAsia="zh-CN" w:bidi="ar"/>
          <w:woUserID w:val="9"/>
        </w:rPr>
        <w:t>温州</w:t>
      </w:r>
      <w:r>
        <w:rPr>
          <w:rFonts w:hint="default" w:ascii="Times New Roman" w:hAnsi="Times New Roman"/>
          <w:lang w:bidi="ar"/>
          <w:woUserID w:val="9"/>
        </w:rPr>
        <w:t>市级</w:t>
      </w:r>
      <w:r>
        <w:rPr>
          <w:rFonts w:hint="default" w:ascii="Times New Roman" w:hAnsi="Times New Roman"/>
          <w:lang w:bidi="ar"/>
        </w:rPr>
        <w:t>工业互联网平台</w:t>
      </w:r>
      <w:r>
        <w:rPr>
          <w:rFonts w:hint="default" w:ascii="Times New Roman" w:hAnsi="Times New Roman"/>
          <w:lang w:bidi="ar"/>
          <w:woUserID w:val="9"/>
        </w:rPr>
        <w:t>3</w:t>
      </w:r>
      <w:r>
        <w:rPr>
          <w:rFonts w:hint="default" w:ascii="Times New Roman" w:hAnsi="Times New Roman"/>
          <w:lang w:bidi="ar"/>
        </w:rPr>
        <w:t>家以上、智能工厂（数字化车间）2家。</w:t>
      </w:r>
      <w:r>
        <w:rPr>
          <w:rFonts w:hint="eastAsia" w:ascii="Times New Roman" w:hAnsi="Times New Roman" w:eastAsia="楷体_GB2312"/>
          <w:lang w:bidi="ar"/>
        </w:rPr>
        <w:t>（责任单位：市经信局）</w:t>
      </w:r>
    </w:p>
    <w:p w14:paraId="1183FEAC">
      <w:pPr>
        <w:autoSpaceDN w:val="0"/>
        <w:spacing w:after="0" w:line="560" w:lineRule="exact"/>
        <w:ind w:firstLine="632" w:firstLineChars="200"/>
        <w:textAlignment w:val="baseline"/>
        <w:rPr>
          <w:rFonts w:eastAsia="楷体_GB2312"/>
          <w:szCs w:val="32"/>
          <w:lang w:bidi="ar"/>
        </w:rPr>
      </w:pPr>
      <w:r>
        <w:rPr>
          <w:rFonts w:hint="default" w:ascii="Times New Roman" w:hAnsi="Times New Roman" w:eastAsia="楷体_GB2312"/>
          <w:szCs w:val="32"/>
          <w:lang w:bidi="ar"/>
        </w:rPr>
        <w:t>（九）支持企业高质量发展。</w:t>
      </w:r>
      <w:r>
        <w:rPr>
          <w:rFonts w:hint="eastAsia"/>
          <w:szCs w:val="32"/>
          <w:lang w:bidi="ar"/>
        </w:rPr>
        <w:t>落实中小企业无还本续贷政策，阶段性拓展至中型企业，力争新增无还本续贷60亿元，新增企业首贷户100户以上。</w:t>
      </w:r>
      <w:r>
        <w:rPr>
          <w:szCs w:val="32"/>
        </w:rPr>
        <w:t>安排财政资金</w:t>
      </w:r>
      <w:r>
        <w:rPr>
          <w:rFonts w:hint="eastAsia"/>
          <w:szCs w:val="32"/>
        </w:rPr>
        <w:t>，支持构建促进专精特新中小企业发展壮大机制，新培育省级以上专精特新中小企业超</w:t>
      </w:r>
      <w:r>
        <w:rPr>
          <w:szCs w:val="32"/>
        </w:rPr>
        <w:t>38</w:t>
      </w:r>
      <w:r>
        <w:rPr>
          <w:rFonts w:hint="eastAsia"/>
          <w:szCs w:val="32"/>
        </w:rPr>
        <w:t>家。建立科技企业培育库，入库领军企业</w:t>
      </w:r>
      <w:r>
        <w:rPr>
          <w:szCs w:val="32"/>
        </w:rPr>
        <w:t>5</w:t>
      </w:r>
      <w:r>
        <w:rPr>
          <w:rFonts w:hint="eastAsia"/>
          <w:szCs w:val="32"/>
        </w:rPr>
        <w:t>家以上。做大做强一批链主企业、雄鹰企业、单项冠军企业，对新认定的单项冠军企业</w:t>
      </w:r>
      <w:r>
        <w:rPr>
          <w:rFonts w:hint="default"/>
          <w:szCs w:val="32"/>
          <w:woUserID w:val="7"/>
        </w:rPr>
        <w:t>按规定实施奖补</w:t>
      </w:r>
      <w:r>
        <w:rPr>
          <w:rFonts w:hint="eastAsia"/>
          <w:szCs w:val="32"/>
        </w:rPr>
        <w:t>。首次</w:t>
      </w:r>
      <w:r>
        <w:rPr>
          <w:rFonts w:hint="eastAsia"/>
          <w:szCs w:val="32"/>
          <w:lang w:eastAsia="zh-CN"/>
        </w:rPr>
        <w:t>“</w:t>
      </w:r>
      <w:r>
        <w:rPr>
          <w:rFonts w:hint="eastAsia"/>
          <w:szCs w:val="32"/>
        </w:rPr>
        <w:t>小升规</w:t>
      </w:r>
      <w:r>
        <w:rPr>
          <w:rFonts w:hint="eastAsia"/>
          <w:szCs w:val="32"/>
          <w:lang w:eastAsia="zh-CN"/>
        </w:rPr>
        <w:t>”</w:t>
      </w:r>
      <w:r>
        <w:rPr>
          <w:rFonts w:hint="eastAsia"/>
          <w:szCs w:val="32"/>
        </w:rPr>
        <w:t>企业亩均论英雄综合评价直升一档并即时生效、按规定给予奖励。</w:t>
      </w:r>
      <w:r>
        <w:rPr>
          <w:szCs w:val="32"/>
        </w:rPr>
        <w:t>精准调整上市重点培育企业，鼓励上市公司充分利用再融资工具，精准指导企业</w:t>
      </w:r>
      <w:r>
        <w:rPr>
          <w:rFonts w:hint="eastAsia"/>
          <w:szCs w:val="32"/>
          <w:lang w:eastAsia="zh-CN"/>
        </w:rPr>
        <w:t>“</w:t>
      </w:r>
      <w:r>
        <w:rPr>
          <w:szCs w:val="32"/>
        </w:rPr>
        <w:t>又好又快</w:t>
      </w:r>
      <w:r>
        <w:rPr>
          <w:rFonts w:hint="eastAsia"/>
          <w:szCs w:val="32"/>
          <w:lang w:eastAsia="zh-CN"/>
        </w:rPr>
        <w:t>”</w:t>
      </w:r>
      <w:r>
        <w:rPr>
          <w:szCs w:val="32"/>
        </w:rPr>
        <w:t>上市，支持资本市场</w:t>
      </w:r>
      <w:r>
        <w:rPr>
          <w:rFonts w:hint="eastAsia"/>
          <w:szCs w:val="32"/>
          <w:lang w:eastAsia="zh-CN"/>
        </w:rPr>
        <w:t>“</w:t>
      </w:r>
      <w:r>
        <w:rPr>
          <w:szCs w:val="32"/>
        </w:rPr>
        <w:t>乐清板块</w:t>
      </w:r>
      <w:r>
        <w:rPr>
          <w:rFonts w:hint="eastAsia"/>
          <w:szCs w:val="32"/>
          <w:lang w:eastAsia="zh-CN"/>
        </w:rPr>
        <w:t>”</w:t>
      </w:r>
      <w:r>
        <w:rPr>
          <w:szCs w:val="32"/>
        </w:rPr>
        <w:t>做大做强。</w:t>
      </w:r>
      <w:r>
        <w:rPr>
          <w:rFonts w:hint="default" w:ascii="Times New Roman" w:eastAsia="楷体_GB2312"/>
          <w:szCs w:val="32"/>
        </w:rPr>
        <w:t>（责任单位：市经信局、国家金融监督管理总局乐清监管支局、人行乐清营管部、市金融工作服务中心）</w:t>
      </w:r>
    </w:p>
    <w:p w14:paraId="348974B0">
      <w:pPr>
        <w:pStyle w:val="32"/>
        <w:spacing w:after="0" w:line="560" w:lineRule="exact"/>
        <w:ind w:firstLine="632"/>
        <w:textAlignment w:val="baseline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三、推进服务业高质量发展（市发改局牵头）</w:t>
      </w:r>
    </w:p>
    <w:p w14:paraId="50BF040F">
      <w:pPr>
        <w:pStyle w:val="32"/>
        <w:spacing w:after="0" w:line="560" w:lineRule="exact"/>
        <w:ind w:firstLine="632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/>
        </w:rPr>
        <w:t>加快构建乐清特色现代服务业体系，着力提升生产性服务业，</w:t>
      </w:r>
      <w:r>
        <w:rPr>
          <w:rFonts w:hint="eastAsia" w:ascii="Times New Roman" w:hAnsi="Times New Roman"/>
          <w:kern w:val="0"/>
        </w:rPr>
        <w:t>落实提振消费专项行动，全方位扩大内需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年，全市服务业增加值</w:t>
      </w:r>
      <w:r>
        <w:rPr>
          <w:rFonts w:hint="eastAsia" w:ascii="Times New Roman" w:hAnsi="Times New Roman"/>
          <w:kern w:val="0"/>
        </w:rPr>
        <w:t>增长</w:t>
      </w:r>
      <w:r>
        <w:rPr>
          <w:rFonts w:ascii="Times New Roman" w:hAnsi="Times New Roman"/>
          <w:kern w:val="0"/>
        </w:rPr>
        <w:t>5</w:t>
      </w:r>
      <w:r>
        <w:rPr>
          <w:rFonts w:hint="eastAsia" w:ascii="Times New Roman" w:hAnsi="Times New Roman"/>
          <w:kern w:val="0"/>
        </w:rPr>
        <w:t>.5</w:t>
      </w:r>
      <w:r>
        <w:rPr>
          <w:rFonts w:ascii="Times New Roman" w:hAnsi="Times New Roman"/>
          <w:kern w:val="0"/>
        </w:rPr>
        <w:t>%</w:t>
      </w:r>
      <w:r>
        <w:rPr>
          <w:rFonts w:hint="eastAsia" w:ascii="Times New Roman" w:hAnsi="Times New Roman"/>
          <w:kern w:val="0"/>
        </w:rPr>
        <w:t>，社</w:t>
      </w:r>
      <w:r>
        <w:rPr>
          <w:rFonts w:hint="eastAsia" w:ascii="Times New Roman" w:hAnsi="Times New Roman"/>
        </w:rPr>
        <w:t>会消费品零售总额增长</w:t>
      </w:r>
      <w:r>
        <w:rPr>
          <w:rFonts w:ascii="Times New Roman" w:hAnsi="Times New Roman"/>
        </w:rPr>
        <w:t>6%</w:t>
      </w:r>
      <w:r>
        <w:rPr>
          <w:rFonts w:hint="eastAsia" w:ascii="Times New Roman" w:hAnsi="Times New Roman"/>
        </w:rPr>
        <w:t>。市级财政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年预算安排资金</w:t>
      </w:r>
      <w:r>
        <w:rPr>
          <w:rFonts w:hint="default" w:ascii="Times New Roman" w:hAnsi="Times New Roman"/>
          <w:woUserID w:val="3"/>
        </w:rPr>
        <w:t>0.62</w:t>
      </w:r>
      <w:r>
        <w:rPr>
          <w:rFonts w:hint="eastAsia" w:ascii="Times New Roman" w:hAnsi="Times New Roman"/>
        </w:rPr>
        <w:t>亿元。其中，重点支持文旅事业发展</w:t>
      </w:r>
      <w:r>
        <w:rPr>
          <w:rFonts w:hint="default" w:ascii="Times New Roman" w:hAnsi="Times New Roman"/>
          <w:woUserID w:val="3"/>
        </w:rPr>
        <w:t>0.43</w:t>
      </w:r>
      <w:r>
        <w:rPr>
          <w:rFonts w:hint="eastAsia" w:ascii="Times New Roman" w:hAnsi="Times New Roman"/>
        </w:rPr>
        <w:t>亿元，支持服务业平台发展</w:t>
      </w:r>
      <w:r>
        <w:rPr>
          <w:rFonts w:hint="default" w:ascii="Times New Roman" w:hAnsi="Times New Roman"/>
          <w:woUserID w:val="3"/>
        </w:rPr>
        <w:t>0.19</w:t>
      </w:r>
      <w:r>
        <w:rPr>
          <w:rFonts w:hint="eastAsia" w:ascii="Times New Roman" w:hAnsi="Times New Roman"/>
        </w:rPr>
        <w:t>亿元。</w:t>
      </w:r>
    </w:p>
    <w:p w14:paraId="3849A872">
      <w:pPr>
        <w:pStyle w:val="32"/>
        <w:numPr>
          <w:ilvl w:val="0"/>
          <w:numId w:val="0"/>
        </w:numPr>
        <w:spacing w:after="0" w:line="560" w:lineRule="exact"/>
        <w:ind w:firstLine="632" w:firstLineChars="200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（十）加力扩围消费品以旧换新。</w:t>
      </w:r>
      <w:r>
        <w:rPr>
          <w:rFonts w:hint="eastAsia" w:ascii="Times New Roman" w:hAnsi="Times New Roman"/>
        </w:rPr>
        <w:t>用好用足消费品以旧换新国债资金，力争消费品以旧换新国债资金使用量列温州前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。全力</w:t>
      </w:r>
      <w:r>
        <w:rPr>
          <w:rFonts w:ascii="Times New Roman" w:hAnsi="Times New Roman" w:cs="Times New Roman"/>
        </w:rPr>
        <w:t>承接国家汽车以旧换新补贴政策，按国家政策扩围支持手机、平板等数码产品购新补贴，</w:t>
      </w:r>
      <w:r>
        <w:rPr>
          <w:rFonts w:hint="eastAsia" w:ascii="Times New Roman" w:hAnsi="Times New Roman"/>
        </w:rPr>
        <w:t>加力开展汽车、家电、家居、</w:t>
      </w:r>
      <w:r>
        <w:rPr>
          <w:rFonts w:ascii="Times New Roman" w:hAnsi="Times New Roman"/>
        </w:rPr>
        <w:t>3C</w:t>
      </w:r>
      <w:r>
        <w:rPr>
          <w:rFonts w:hint="eastAsia" w:ascii="Times New Roman" w:hAnsi="Times New Roman"/>
        </w:rPr>
        <w:t>、电动自行车等重点领域以旧换新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/>
        </w:rPr>
        <w:t>打好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政府补贴、平台支持、商家让利、百姓受惠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组合拳，根据</w:t>
      </w:r>
      <w:r>
        <w:rPr>
          <w:rFonts w:hint="eastAsia" w:ascii="Times New Roman" w:hAnsi="Times New Roman"/>
          <w:lang w:val="en-US" w:eastAsia="zh-CN"/>
        </w:rPr>
        <w:t>地方财力情况</w:t>
      </w:r>
      <w:r>
        <w:rPr>
          <w:rFonts w:hint="eastAsia" w:ascii="Times New Roman" w:hAnsi="Times New Roman"/>
        </w:rPr>
        <w:t>，在国家、省级政策允许的前提下，扩充补贴品类、提高补贴标准、扩大补贴渠道。</w:t>
      </w:r>
      <w:r>
        <w:rPr>
          <w:rFonts w:ascii="Times New Roman" w:hAnsi="Times New Roman" w:cs="Times New Roman"/>
        </w:rPr>
        <w:t>简化优化旧房装修、厨卫等局部改造、居家适老化改造等补贴申领程序，最大程度便利消费者。</w:t>
      </w:r>
      <w:r>
        <w:rPr>
          <w:rFonts w:hint="eastAsia" w:ascii="Times New Roman" w:hAnsi="Times New Roman" w:eastAsia="楷体_GB2312"/>
        </w:rPr>
        <w:t>（责任单位：市发改局、</w:t>
      </w:r>
      <w:r>
        <w:rPr>
          <w:rFonts w:hint="eastAsia" w:ascii="Times New Roman" w:hAnsi="Times New Roman" w:eastAsia="楷体_GB2312"/>
          <w:lang w:val="en-US" w:eastAsia="zh-CN"/>
        </w:rPr>
        <w:t>市财政局、</w:t>
      </w:r>
      <w:r>
        <w:rPr>
          <w:rFonts w:hint="eastAsia" w:ascii="Times New Roman" w:hAnsi="Times New Roman" w:eastAsia="楷体_GB2312"/>
        </w:rPr>
        <w:t>市商务局、市民政局、市住建局）</w:t>
      </w:r>
    </w:p>
    <w:p w14:paraId="4B689665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（十一）持续做旺文体旅消费。</w:t>
      </w:r>
      <w:r>
        <w:rPr>
          <w:rFonts w:ascii="Times New Roman" w:hAnsi="Times New Roman" w:cs="Times New Roman"/>
        </w:rPr>
        <w:t>优化文旅消费季、秋收文旅季等主题活动，全年举办各类文旅活动30场以上。支持消费集聚区提升改造，优化消费促进月、暑期来消费、金秋购物节、跨年消费季等四季主题活动，全年举办各类促销活动50场以上。培育壮大演艺机构、演出经纪、票务平台等经营主体，办好雁荡山铁定溜溜音乐节等大型演唱会（音乐节）。举办乐清半程马拉松、全国公路自行车职业联赛等国家级体育赛事3场、省市联动赛事2场。</w:t>
      </w:r>
      <w:r>
        <w:rPr>
          <w:rFonts w:hint="eastAsia" w:ascii="Times New Roman" w:hAnsi="Times New Roman" w:eastAsia="楷体_GB2312"/>
        </w:rPr>
        <w:t>（责任单位：市商务局、市文化和广电旅游体育局、市体育事业发展中心）</w:t>
      </w:r>
    </w:p>
    <w:p w14:paraId="18DBB63D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（十二）降低全社会物流成本。</w:t>
      </w:r>
      <w:r>
        <w:rPr>
          <w:rFonts w:hint="eastAsia" w:ascii="Times New Roman" w:hAnsi="Times New Roman"/>
        </w:rPr>
        <w:t>支持物流企业发展壮大</w:t>
      </w:r>
      <w:r>
        <w:rPr>
          <w:rFonts w:hint="default" w:ascii="Times New Roman" w:hAnsi="Times New Roman"/>
          <w:woUserID w:val="10"/>
        </w:rPr>
        <w:t>，</w:t>
      </w:r>
      <w:r>
        <w:rPr>
          <w:rFonts w:hint="eastAsia" w:ascii="Times New Roman" w:hAnsi="Times New Roman"/>
        </w:rPr>
        <w:t>鼓励物流企业进行物流设施提质增效和智能化改造、冷链设施智能化绿色化改造升级、快递分拨设备更新，申报</w:t>
      </w:r>
      <w:r>
        <w:rPr>
          <w:rFonts w:hint="eastAsia" w:ascii="Times New Roman" w:hAnsi="Times New Roman"/>
          <w:lang w:bidi="ar"/>
        </w:rPr>
        <w:t>超长期特别国债、中央再贷款贴息补助</w:t>
      </w:r>
      <w:r>
        <w:rPr>
          <w:rFonts w:hint="eastAsia" w:ascii="Times New Roman" w:hAnsi="Times New Roman"/>
        </w:rPr>
        <w:t>。优化物流项目布局，对重大物流项目用地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应保尽保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。</w:t>
      </w:r>
      <w:r>
        <w:rPr>
          <w:rFonts w:hint="eastAsia" w:ascii="Times New Roman" w:hAnsi="Times New Roman" w:eastAsia="楷体_GB2312"/>
        </w:rPr>
        <w:t>（责任单位：市发改局、市交通运输局、市商务局、乐清邮政管理局、市自然资源和规划局）</w:t>
      </w:r>
    </w:p>
    <w:p w14:paraId="6F1C7906">
      <w:pPr>
        <w:pStyle w:val="32"/>
        <w:spacing w:after="0" w:line="560" w:lineRule="exact"/>
        <w:ind w:firstLine="634"/>
        <w:textAlignment w:val="baseline"/>
        <w:rPr>
          <w:rFonts w:ascii="Times New Roman" w:hAnsi="Times New Roman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（十三）做强服务业平台和主体。</w:t>
      </w:r>
      <w:r>
        <w:rPr>
          <w:rFonts w:hint="eastAsia" w:ascii="Times New Roman" w:hAnsi="Times New Roman"/>
        </w:rPr>
        <w:t>建立规上服务业企业培育库</w:t>
      </w:r>
      <w:r>
        <w:rPr>
          <w:rFonts w:ascii="Times New Roman" w:hAnsi="Times New Roman"/>
        </w:rPr>
        <w:t>30</w:t>
      </w:r>
      <w:r>
        <w:rPr>
          <w:rFonts w:hint="eastAsia" w:ascii="Times New Roman" w:hAnsi="Times New Roman"/>
        </w:rPr>
        <w:t>家，支持乐清临港现代物流省级创新发展区提能升级，并依法依规给予要素保障支持。围绕电气、高端装备、新材料等重点领域，支持建设市场化运营的概念验证、中试验证等平台。开展数字广告孵化园培育工作，大力支持传统广告业数字化转型。</w:t>
      </w:r>
      <w:r>
        <w:rPr>
          <w:rFonts w:ascii="Times New Roman" w:hAnsi="Times New Roman" w:cs="Times New Roman"/>
        </w:rPr>
        <w:t>培育产值1千万元以上检验检测机构2家。</w:t>
      </w:r>
      <w:r>
        <w:rPr>
          <w:rFonts w:hint="eastAsia" w:ascii="Times New Roman" w:hAnsi="Times New Roman"/>
        </w:rPr>
        <w:t>建设知识产权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一站式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公共服务平台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个，新增省级工业设计中心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家。</w:t>
      </w:r>
      <w:r>
        <w:rPr>
          <w:rFonts w:hint="default" w:ascii="Times New Roman" w:hAnsi="Times New Roman" w:eastAsia="楷体_GB2312"/>
        </w:rPr>
        <w:t>（责任单位：市发改局、市经信局、市科技局、市市场监管局）</w:t>
      </w:r>
    </w:p>
    <w:p w14:paraId="504756DC">
      <w:pPr>
        <w:pStyle w:val="32"/>
        <w:spacing w:after="0" w:line="560" w:lineRule="exact"/>
        <w:ind w:firstLine="632"/>
        <w:textAlignment w:val="baseline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四、推进交通强市和一流强港建设（市交通运输局牵头）</w:t>
      </w:r>
    </w:p>
    <w:p w14:paraId="7F343324">
      <w:pPr>
        <w:pStyle w:val="32"/>
        <w:spacing w:after="0" w:line="560" w:lineRule="exact"/>
        <w:ind w:firstLine="632"/>
        <w:textAlignment w:val="baseline"/>
        <w:rPr>
          <w:rFonts w:hint="default" w:ascii="Times New Roman" w:hAnsi="Times New Roman"/>
          <w:b/>
          <w:bCs/>
          <w:woUserID w:val="3"/>
        </w:rPr>
      </w:pPr>
      <w:r>
        <w:rPr>
          <w:rFonts w:hint="eastAsia" w:ascii="Times New Roman" w:hAnsi="Times New Roman"/>
        </w:rPr>
        <w:t>围绕交通强市战略，深度融入金丽温开放大通道建设，加强交通强省重大项目建设，推进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四港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联动示范县创建，深化多式联运发展，优化交通保障能力，提升交通服务质量，打造外快内畅、互联互通、立体多元、绿色智能的现代综合交通体系。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年，力争完成综合交通投资10</w:t>
      </w:r>
      <w:r>
        <w:rPr>
          <w:rFonts w:hint="eastAsia" w:ascii="Times New Roman" w:hAnsi="Times New Roman"/>
          <w:lang w:val="en-US" w:eastAsia="zh-CN"/>
          <w:woUserID w:val="5"/>
        </w:rPr>
        <w:t>5</w:t>
      </w:r>
      <w:r>
        <w:rPr>
          <w:rFonts w:hint="eastAsia" w:ascii="Times New Roman" w:hAnsi="Times New Roman"/>
        </w:rPr>
        <w:t>亿元以上。</w:t>
      </w:r>
      <w:r>
        <w:rPr>
          <w:rFonts w:hint="eastAsia" w:ascii="Times New Roman" w:hAnsi="Times New Roman"/>
          <w:lang w:val="en-US" w:eastAsia="zh-CN"/>
        </w:rPr>
        <w:t>市级财政</w:t>
      </w:r>
      <w:r>
        <w:rPr>
          <w:rFonts w:hint="default" w:ascii="Times New Roman" w:hAnsi="Times New Roman"/>
          <w:woUserID w:val="3"/>
        </w:rPr>
        <w:t>2025年预算安排资金8.14亿元。</w:t>
      </w:r>
    </w:p>
    <w:p w14:paraId="4585CF6A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（十四）推进港口基础设施建设。</w:t>
      </w:r>
      <w:r>
        <w:rPr>
          <w:rFonts w:ascii="Times New Roman" w:hAnsi="Times New Roman" w:cs="Times New Roman"/>
        </w:rPr>
        <w:t>加快港区重大设施建设，</w:t>
      </w:r>
      <w:r>
        <w:rPr>
          <w:rFonts w:hint="eastAsia" w:ascii="Times New Roman" w:hAnsi="Times New Roman"/>
        </w:rPr>
        <w:t>建成投用乐清湾港区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区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个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</w:rPr>
        <w:t>万吨级泊位、浙能乐清电厂三期配套码头等专业化码头，</w:t>
      </w:r>
      <w:r>
        <w:rPr>
          <w:rFonts w:hint="eastAsia" w:ascii="Times New Roman" w:hAnsi="Times New Roman"/>
          <w:lang w:val="en-US" w:eastAsia="zh-CN"/>
        </w:rPr>
        <w:t>推进</w:t>
      </w:r>
      <w:r>
        <w:rPr>
          <w:rFonts w:hint="eastAsia" w:ascii="Times New Roman" w:hAnsi="Times New Roman"/>
        </w:rPr>
        <w:t>乐清湾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区二期集装箱专用码头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</w:rPr>
        <w:t>乐清湾D区1个万吨级油品码头</w:t>
      </w:r>
      <w:r>
        <w:rPr>
          <w:rFonts w:hint="eastAsia" w:ascii="Times New Roman" w:hAnsi="Times New Roman"/>
          <w:lang w:val="en-US" w:eastAsia="zh-CN"/>
        </w:rPr>
        <w:t>项目前期</w:t>
      </w:r>
      <w:r>
        <w:rPr>
          <w:rFonts w:hint="eastAsia" w:ascii="Times New Roman" w:hAnsi="Times New Roman"/>
        </w:rPr>
        <w:t>，适时启动乐清湾进港航道一期延伸工程二阶段（通用作业区至液体化工作业区）；加强温台合作，推进乐清湾进港航道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</w:rPr>
        <w:t>万吨级船舶双向通航航道扩建，统筹利用锚地资源，进一步完善锚地功能。</w:t>
      </w:r>
      <w:r>
        <w:rPr>
          <w:rFonts w:hint="eastAsia" w:ascii="Times New Roman" w:hAnsi="Times New Roman" w:eastAsia="楷体_GB2312"/>
        </w:rPr>
        <w:t>（责任单位：</w:t>
      </w:r>
      <w:r>
        <w:rPr>
          <w:rFonts w:hint="eastAsia" w:ascii="Times New Roman" w:hAnsi="Times New Roman" w:eastAsia="楷体_GB2312"/>
          <w:lang w:bidi="ar"/>
        </w:rPr>
        <w:t>市交通运输局、乐清湾临港经济开发区管委会、市府办（口岸办）、南岳镇、乐清湾港务公司、南岳港务公司</w:t>
      </w:r>
      <w:r>
        <w:rPr>
          <w:rFonts w:hint="eastAsia" w:ascii="Times New Roman" w:hAnsi="Times New Roman" w:eastAsia="楷体_GB2312"/>
        </w:rPr>
        <w:t>）</w:t>
      </w:r>
    </w:p>
    <w:p w14:paraId="6314C0CC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（十五）打造乐清湾多式联运枢纽。</w:t>
      </w:r>
      <w:r>
        <w:rPr>
          <w:rFonts w:hint="eastAsia" w:ascii="Times New Roman" w:hAnsi="Times New Roman"/>
        </w:rPr>
        <w:t>持续做大海铁联运，加快中欧班列乐清湾</w:t>
      </w:r>
      <w:r>
        <w:rPr>
          <w:rFonts w:hint="eastAsia" w:ascii="Times New Roman" w:hAnsi="Times New Roman"/>
          <w:lang w:val="en-US" w:eastAsia="zh-CN"/>
        </w:rPr>
        <w:t>站</w:t>
      </w:r>
      <w:r>
        <w:rPr>
          <w:rFonts w:hint="eastAsia" w:ascii="Times New Roman" w:hAnsi="Times New Roman"/>
        </w:rPr>
        <w:t>场站建设，持续申报混装资质，推动腹地部分东南亚货源通过海铁联运经</w:t>
      </w:r>
      <w:r>
        <w:rPr>
          <w:rFonts w:hint="eastAsia" w:ascii="Times New Roman" w:hAnsi="Times New Roman"/>
          <w:lang w:val="en-US" w:eastAsia="zh-CN"/>
        </w:rPr>
        <w:t>乐清湾港区</w:t>
      </w:r>
      <w:r>
        <w:rPr>
          <w:rFonts w:hint="eastAsia" w:ascii="Times New Roman" w:hAnsi="Times New Roman"/>
        </w:rPr>
        <w:t>出海，常态化运行义乌、永康至温州海铁联运，积极争取江西三同政策、浙江省海铁联运补贴政策向</w:t>
      </w:r>
      <w:r>
        <w:rPr>
          <w:rFonts w:hint="eastAsia" w:ascii="Times New Roman" w:hAnsi="Times New Roman"/>
          <w:lang w:val="en-US" w:eastAsia="zh-CN"/>
        </w:rPr>
        <w:t>乐清湾港区</w:t>
      </w:r>
      <w:r>
        <w:rPr>
          <w:rFonts w:hint="eastAsia" w:ascii="Times New Roman" w:hAnsi="Times New Roman"/>
        </w:rPr>
        <w:t>覆盖，</w:t>
      </w:r>
      <w:r>
        <w:rPr>
          <w:rFonts w:hint="eastAsia" w:ascii="Times New Roman" w:hAnsi="Times New Roman"/>
          <w:woUserID w:val="0"/>
        </w:rPr>
        <w:t>力争完成集装箱吞吐量60万标箱，</w:t>
      </w:r>
      <w:r>
        <w:rPr>
          <w:rFonts w:hint="eastAsia" w:ascii="Times New Roman" w:hAnsi="Times New Roman"/>
        </w:rPr>
        <w:t>完成集装箱海铁联运1.2万标箱。加快推进乐清湾C区浮码头建设，积极推动瓯江口航区调整工作，力争常态化运营瓯江海河联运业务，助力温州港打造浙南海河联运中心。</w:t>
      </w:r>
      <w:r>
        <w:rPr>
          <w:rFonts w:hint="eastAsia" w:ascii="Times New Roman" w:hAnsi="Times New Roman" w:eastAsia="楷体_GB2312"/>
        </w:rPr>
        <w:t>（责任单位：乐清湾临港经济开发区管委会、市交通运输局、市府办（口岸办）、市商务局、南岳港务公司）</w:t>
      </w:r>
    </w:p>
    <w:p w14:paraId="63899F98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（十六）推动工程项目勘察设计招标创新。</w:t>
      </w:r>
      <w:r>
        <w:rPr>
          <w:rFonts w:hint="eastAsia" w:ascii="Times New Roman" w:hAnsi="Times New Roman"/>
        </w:rPr>
        <w:t>鼓励公路水运建设项目在工可已审查，项目路线、建设规模和技术标准已基本明确的情况下，经行业主管部门同意，提前开展勘察设计招标，鼓励支持项目采用全过程咨询招标模式。</w:t>
      </w:r>
      <w:r>
        <w:rPr>
          <w:rFonts w:hint="eastAsia" w:ascii="Times New Roman" w:hAnsi="Times New Roman" w:eastAsia="楷体_GB2312"/>
        </w:rPr>
        <w:t>（责任单位：</w:t>
      </w:r>
      <w:r>
        <w:rPr>
          <w:rFonts w:hint="eastAsia" w:ascii="Times New Roman" w:hAnsi="Times New Roman" w:eastAsia="楷体_GB2312"/>
          <w:lang w:bidi="ar"/>
        </w:rPr>
        <w:t>市</w:t>
      </w:r>
      <w:r>
        <w:rPr>
          <w:rFonts w:hint="eastAsia" w:ascii="Times New Roman" w:hAnsi="Times New Roman" w:eastAsia="楷体_GB2312"/>
        </w:rPr>
        <w:t>交通运输局、市</w:t>
      </w:r>
      <w:r>
        <w:rPr>
          <w:rFonts w:hint="eastAsia" w:ascii="Times New Roman" w:hAnsi="Times New Roman" w:eastAsia="楷体_GB2312"/>
          <w:lang w:val="en-US" w:eastAsia="zh-CN"/>
        </w:rPr>
        <w:t>发改局</w:t>
      </w:r>
      <w:r>
        <w:rPr>
          <w:rFonts w:hint="eastAsia" w:ascii="Times New Roman" w:hAnsi="Times New Roman" w:eastAsia="楷体_GB2312"/>
        </w:rPr>
        <w:t>）</w:t>
      </w:r>
    </w:p>
    <w:p w14:paraId="5AFA8298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  <w:b/>
          <w:bCs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（十七）支持通用航空和低空经济发展。</w:t>
      </w:r>
      <w:r>
        <w:rPr>
          <w:rFonts w:hint="eastAsia" w:ascii="Times New Roman" w:hAnsi="Times New Roman" w:eastAsia="楷体_GB2312"/>
        </w:rPr>
        <w:t>加快</w:t>
      </w:r>
      <w:r>
        <w:rPr>
          <w:rFonts w:hint="default" w:ascii="Times New Roman" w:hAnsi="Times New Roman" w:cs="Times New Roman"/>
        </w:rPr>
        <w:t>实施</w:t>
      </w:r>
      <w:r>
        <w:rPr>
          <w:rFonts w:ascii="Times New Roman" w:hAnsi="Times New Roman" w:cs="Times New Roman"/>
        </w:rPr>
        <w:t>《乐清市促进低空经济高质量发展实施方案（2024-2027年）》，积极拓展应用场景，建设环雁荡山低空游览小航线等项目，加快探索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低空+X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新业态。加快产业补链强链，大力培育引进低空经济专精特新企业，促进低空制造业集群发展。建立健全地面起降设施网，争取远期形成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一镇一起降场、一村一起降点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布局。</w:t>
      </w:r>
      <w:r>
        <w:rPr>
          <w:rFonts w:hint="eastAsia" w:ascii="Times New Roman" w:hAnsi="Times New Roman" w:eastAsia="楷体_GB2312"/>
        </w:rPr>
        <w:t>（责任单位：市交通运输局、市经信局、市财政局、市发改局、市自然资源和规划局）</w:t>
      </w:r>
    </w:p>
    <w:p w14:paraId="086D633C">
      <w:pPr>
        <w:pStyle w:val="32"/>
        <w:spacing w:after="0" w:line="560" w:lineRule="exact"/>
        <w:ind w:firstLine="63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（十八）稳步推进交通惠民。</w:t>
      </w:r>
      <w:r>
        <w:rPr>
          <w:rFonts w:hint="eastAsia" w:ascii="Times New Roman" w:hAnsi="Times New Roman"/>
        </w:rPr>
        <w:t>积极争取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两新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超长期特别国债、交通碳达峰专项补助等资金，重点支持老旧车船淘汰，推广新能源运输装备。高质量推进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四好农村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2.0</w:t>
      </w:r>
      <w:r>
        <w:rPr>
          <w:rFonts w:hint="eastAsia" w:ascii="Times New Roman" w:hAnsi="Times New Roman"/>
        </w:rPr>
        <w:t>版，新改建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公里、大中修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hint="eastAsia" w:ascii="Times New Roman" w:hAnsi="Times New Roman"/>
        </w:rPr>
        <w:t>公里，实现乡镇通三级以上公路比例达</w:t>
      </w:r>
      <w:r>
        <w:rPr>
          <w:rFonts w:ascii="Times New Roman" w:hAnsi="Times New Roman"/>
        </w:rPr>
        <w:t>96%</w:t>
      </w:r>
      <w:r>
        <w:rPr>
          <w:rFonts w:hint="eastAsia" w:ascii="Times New Roman" w:hAnsi="Times New Roman"/>
        </w:rPr>
        <w:t>。建立健全农村客货邮融合机制，开通城乡客货邮融合线路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条，新增综合性服务站点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个。</w:t>
      </w:r>
      <w:r>
        <w:rPr>
          <w:rFonts w:hint="eastAsia" w:ascii="Times New Roman" w:hAnsi="Times New Roman" w:eastAsia="楷体_GB2312"/>
        </w:rPr>
        <w:t>（责任单位：市交通运输局）</w:t>
      </w:r>
    </w:p>
    <w:p w14:paraId="19E4FE9F">
      <w:pPr>
        <w:pStyle w:val="32"/>
        <w:spacing w:after="0" w:line="560" w:lineRule="exact"/>
        <w:ind w:firstLine="632"/>
        <w:textAlignment w:val="baseline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五</w:t>
      </w:r>
      <w:r>
        <w:rPr>
          <w:rFonts w:ascii="Times New Roman" w:hAnsi="Times New Roman" w:eastAsia="黑体"/>
        </w:rPr>
        <w:t>、</w:t>
      </w:r>
      <w:r>
        <w:rPr>
          <w:rFonts w:hint="eastAsia" w:ascii="Times New Roman" w:hAnsi="Times New Roman" w:eastAsia="黑体"/>
        </w:rPr>
        <w:t>推进高水平对外开放</w:t>
      </w:r>
      <w:r>
        <w:rPr>
          <w:rFonts w:ascii="Times New Roman" w:hAnsi="Times New Roman" w:eastAsia="黑体"/>
        </w:rPr>
        <w:t>（</w:t>
      </w:r>
      <w:r>
        <w:rPr>
          <w:rFonts w:hint="eastAsia" w:ascii="Times New Roman" w:hAnsi="Times New Roman" w:eastAsia="黑体"/>
        </w:rPr>
        <w:t>市</w:t>
      </w:r>
      <w:r>
        <w:rPr>
          <w:rFonts w:ascii="Times New Roman" w:hAnsi="Times New Roman" w:eastAsia="黑体"/>
        </w:rPr>
        <w:t>商务</w:t>
      </w:r>
      <w:r>
        <w:rPr>
          <w:rFonts w:hint="eastAsia" w:ascii="Times New Roman" w:hAnsi="Times New Roman" w:eastAsia="黑体"/>
        </w:rPr>
        <w:t>局牵头</w:t>
      </w:r>
      <w:r>
        <w:rPr>
          <w:rFonts w:ascii="Times New Roman" w:hAnsi="Times New Roman" w:eastAsia="黑体"/>
        </w:rPr>
        <w:t>）</w:t>
      </w:r>
    </w:p>
    <w:p w14:paraId="3F6FF010">
      <w:pPr>
        <w:pStyle w:val="32"/>
        <w:spacing w:after="0" w:line="560" w:lineRule="exact"/>
        <w:ind w:firstLine="632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统筹抓好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硬件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和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软件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建设，强力推进乐清开放提升，加快打造高能级开放先行地，提升城市对外开放水平，加快推进乐清产品国际化，建设高能级开放强市。2025</w:t>
      </w:r>
      <w:r>
        <w:rPr>
          <w:rFonts w:hint="eastAsia" w:ascii="Times New Roman" w:hAnsi="Times New Roman"/>
        </w:rPr>
        <w:t>年，全市货物贸易出口增长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%</w:t>
      </w:r>
      <w:r>
        <w:rPr>
          <w:rFonts w:hint="eastAsia" w:ascii="Times New Roman" w:hAnsi="Times New Roman"/>
        </w:rPr>
        <w:t>；实际使用外资</w:t>
      </w:r>
      <w:r>
        <w:rPr>
          <w:rFonts w:ascii="Times New Roman" w:hAnsi="Times New Roman"/>
        </w:rPr>
        <w:t>0.8</w:t>
      </w:r>
      <w:r>
        <w:rPr>
          <w:rFonts w:hint="eastAsia" w:ascii="Times New Roman" w:hAnsi="Times New Roman"/>
        </w:rPr>
        <w:t>亿美元以上。市级财政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年预算安排资金</w:t>
      </w:r>
      <w:r>
        <w:rPr>
          <w:rFonts w:hint="default" w:ascii="Times New Roman" w:hAnsi="Times New Roman"/>
          <w:woUserID w:val="3"/>
        </w:rPr>
        <w:t>0.51</w:t>
      </w:r>
      <w:r>
        <w:rPr>
          <w:rFonts w:hint="eastAsia" w:ascii="Times New Roman" w:hAnsi="Times New Roman"/>
        </w:rPr>
        <w:t>亿元。</w:t>
      </w:r>
    </w:p>
    <w:p w14:paraId="045726DE">
      <w:pPr>
        <w:pStyle w:val="32"/>
        <w:spacing w:after="0" w:line="560" w:lineRule="exact"/>
        <w:ind w:firstLine="634"/>
        <w:textAlignment w:val="baseline"/>
        <w:rPr>
          <w:rFonts w:ascii="Times New Roman" w:hAnsi="Times New Roman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（十九）积极培育外贸新模式。</w:t>
      </w:r>
      <w:r>
        <w:rPr>
          <w:rFonts w:hint="eastAsia" w:ascii="Times New Roman" w:hAnsi="Times New Roman"/>
          <w:lang w:bidi="ar"/>
        </w:rPr>
        <w:t>持续开展</w:t>
      </w:r>
      <w:r>
        <w:rPr>
          <w:rFonts w:hint="eastAsia" w:ascii="Times New Roman" w:hAnsi="Times New Roman"/>
          <w:lang w:eastAsia="zh-CN" w:bidi="ar"/>
        </w:rPr>
        <w:t>“</w:t>
      </w:r>
      <w:r>
        <w:rPr>
          <w:rFonts w:hint="eastAsia" w:ascii="Times New Roman" w:hAnsi="Times New Roman"/>
          <w:lang w:bidi="ar"/>
        </w:rPr>
        <w:t>百团千企出海拓市场增订单</w:t>
      </w:r>
      <w:r>
        <w:rPr>
          <w:rFonts w:hint="eastAsia" w:ascii="Times New Roman" w:hAnsi="Times New Roman"/>
          <w:lang w:eastAsia="zh-CN" w:bidi="ar"/>
        </w:rPr>
        <w:t>”</w:t>
      </w:r>
      <w:r>
        <w:rPr>
          <w:rFonts w:hint="eastAsia" w:ascii="Times New Roman" w:hAnsi="Times New Roman"/>
          <w:lang w:bidi="ar"/>
        </w:rPr>
        <w:t>专项行动，</w:t>
      </w:r>
      <w:r>
        <w:rPr>
          <w:rFonts w:ascii="Times New Roman" w:hAnsi="Times New Roman"/>
          <w:lang w:bidi="ar"/>
        </w:rPr>
        <w:t>2025</w:t>
      </w:r>
      <w:r>
        <w:rPr>
          <w:rFonts w:hint="eastAsia" w:ascii="Times New Roman" w:hAnsi="Times New Roman"/>
          <w:lang w:bidi="ar"/>
        </w:rPr>
        <w:t>年力争组织超</w:t>
      </w:r>
      <w:r>
        <w:rPr>
          <w:rFonts w:ascii="Times New Roman" w:hAnsi="Times New Roman"/>
          <w:lang w:bidi="ar"/>
        </w:rPr>
        <w:t>200</w:t>
      </w:r>
      <w:r>
        <w:rPr>
          <w:rFonts w:hint="eastAsia" w:ascii="Times New Roman" w:hAnsi="Times New Roman"/>
          <w:lang w:bidi="ar"/>
        </w:rPr>
        <w:t>家次外贸企业，开展境内外拓市场活动</w:t>
      </w:r>
      <w:r>
        <w:rPr>
          <w:rFonts w:hint="eastAsia" w:ascii="Times New Roman" w:hAnsi="Times New Roman"/>
          <w:lang w:val="en-US" w:eastAsia="zh-CN" w:bidi="ar"/>
        </w:rPr>
        <w:t>2</w:t>
      </w:r>
      <w:r>
        <w:rPr>
          <w:rFonts w:ascii="Times New Roman" w:hAnsi="Times New Roman"/>
          <w:lang w:bidi="ar"/>
        </w:rPr>
        <w:t>0</w:t>
      </w:r>
      <w:r>
        <w:rPr>
          <w:rFonts w:hint="eastAsia" w:ascii="Times New Roman" w:hAnsi="Times New Roman"/>
          <w:lang w:bidi="ar"/>
        </w:rPr>
        <w:t>场以上，收获意向订单超</w:t>
      </w:r>
      <w:r>
        <w:rPr>
          <w:rFonts w:ascii="Times New Roman" w:hAnsi="Times New Roman"/>
          <w:lang w:bidi="ar"/>
        </w:rPr>
        <w:t>3</w:t>
      </w:r>
      <w:r>
        <w:rPr>
          <w:rFonts w:hint="eastAsia" w:ascii="Times New Roman" w:hAnsi="Times New Roman"/>
          <w:lang w:bidi="ar"/>
        </w:rPr>
        <w:t>亿美元。挖掘服务贸易增量，服务贸易进出口增长</w:t>
      </w:r>
      <w:r>
        <w:rPr>
          <w:rFonts w:ascii="Times New Roman" w:hAnsi="Times New Roman"/>
          <w:lang w:bidi="ar"/>
        </w:rPr>
        <w:t>5%</w:t>
      </w:r>
      <w:r>
        <w:rPr>
          <w:rFonts w:hint="eastAsia" w:ascii="Times New Roman" w:hAnsi="Times New Roman"/>
          <w:lang w:bidi="ar"/>
        </w:rPr>
        <w:t>。</w:t>
      </w:r>
      <w:r>
        <w:rPr>
          <w:rFonts w:hint="eastAsia" w:ascii="Times New Roman" w:hAnsi="Times New Roman"/>
        </w:rPr>
        <w:t>支持跨境电商高质量发展，发展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直播</w:t>
      </w:r>
      <w:r>
        <w:rPr>
          <w:rFonts w:ascii="Times New Roman" w:hAnsi="Times New Roman"/>
        </w:rPr>
        <w:t>+</w:t>
      </w:r>
      <w:r>
        <w:rPr>
          <w:rFonts w:hint="eastAsia" w:ascii="Times New Roman" w:hAnsi="Times New Roman"/>
        </w:rPr>
        <w:t>平台</w:t>
      </w:r>
      <w:r>
        <w:rPr>
          <w:rFonts w:ascii="Times New Roman" w:hAnsi="Times New Roman"/>
        </w:rPr>
        <w:t>+</w:t>
      </w:r>
      <w:r>
        <w:rPr>
          <w:rFonts w:hint="eastAsia" w:ascii="Times New Roman" w:hAnsi="Times New Roman"/>
        </w:rPr>
        <w:t>跨境电商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融合模式，延续实施跨境电商出口退运商品税收政策。推进内外贸一体化、集拼出口、跨境支付等探索创新，优化市场采购贸易便利化措施。对短期出口信用保险保费按规定给予补助。</w:t>
      </w:r>
      <w:r>
        <w:rPr>
          <w:rFonts w:hint="eastAsia" w:ascii="Times New Roman" w:hAnsi="Times New Roman" w:eastAsia="楷体_GB2312"/>
        </w:rPr>
        <w:t>（责任单位：市商务局、市财政局、市税务局、人行乐清营管部、市发改局）</w:t>
      </w:r>
    </w:p>
    <w:p w14:paraId="7200A413">
      <w:pPr>
        <w:spacing w:after="0" w:line="560" w:lineRule="exact"/>
        <w:ind w:firstLine="632" w:firstLineChars="200"/>
        <w:textAlignment w:val="baseline"/>
        <w:rPr>
          <w:rFonts w:eastAsia="楷体_GB2312"/>
          <w:szCs w:val="32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（二十）大力吸引和利用高质量外资。</w:t>
      </w:r>
      <w:r>
        <w:rPr>
          <w:rFonts w:hint="eastAsia"/>
        </w:rPr>
        <w:t>用好外资招引资金，深化全球大招商活动，</w:t>
      </w:r>
      <w:r>
        <w:t>2025</w:t>
      </w:r>
      <w:r>
        <w:rPr>
          <w:rFonts w:hint="eastAsia"/>
        </w:rPr>
        <w:t>年争取实际利用外资</w:t>
      </w:r>
      <w:r>
        <w:t>0.8</w:t>
      </w:r>
      <w:r>
        <w:rPr>
          <w:rFonts w:hint="eastAsia"/>
        </w:rPr>
        <w:t>亿美元。支持外商在我市投资设立研发中心，落实省市科研支持、税收优惠等帮扶政策。</w:t>
      </w:r>
      <w:r>
        <w:rPr>
          <w:rFonts w:hint="eastAsia" w:eastAsia="楷体_GB2312"/>
          <w:szCs w:val="32"/>
        </w:rPr>
        <w:t>（责任单位：</w:t>
      </w:r>
      <w:r>
        <w:rPr>
          <w:rFonts w:hint="eastAsia" w:eastAsia="楷体_GB2312"/>
          <w:szCs w:val="32"/>
          <w:lang w:bidi="ar"/>
        </w:rPr>
        <w:t>市投资促进服务中心</w:t>
      </w:r>
      <w:r>
        <w:rPr>
          <w:rFonts w:hint="eastAsia" w:eastAsia="楷体_GB2312"/>
          <w:szCs w:val="32"/>
        </w:rPr>
        <w:t>、</w:t>
      </w:r>
      <w:r>
        <w:rPr>
          <w:rFonts w:hint="eastAsia" w:eastAsia="楷体_GB2312"/>
          <w:szCs w:val="32"/>
          <w:lang w:bidi="ar"/>
        </w:rPr>
        <w:t>市</w:t>
      </w:r>
      <w:r>
        <w:rPr>
          <w:rFonts w:hint="eastAsia" w:eastAsia="楷体_GB2312"/>
          <w:szCs w:val="32"/>
        </w:rPr>
        <w:t>财政</w:t>
      </w:r>
      <w:r>
        <w:rPr>
          <w:rFonts w:hint="eastAsia" w:eastAsia="楷体_GB2312"/>
          <w:szCs w:val="32"/>
          <w:lang w:bidi="ar"/>
        </w:rPr>
        <w:t>局</w:t>
      </w:r>
      <w:r>
        <w:rPr>
          <w:rFonts w:hint="eastAsia" w:eastAsia="楷体_GB2312"/>
          <w:szCs w:val="32"/>
        </w:rPr>
        <w:t>、市自然资源和规划局、</w:t>
      </w:r>
      <w:r>
        <w:rPr>
          <w:rFonts w:hint="eastAsia" w:eastAsia="楷体_GB2312"/>
          <w:szCs w:val="32"/>
          <w:lang w:bidi="ar"/>
        </w:rPr>
        <w:t>市</w:t>
      </w:r>
      <w:r>
        <w:rPr>
          <w:rFonts w:hint="eastAsia" w:eastAsia="楷体_GB2312"/>
          <w:szCs w:val="32"/>
        </w:rPr>
        <w:t>税务局、市科技局）</w:t>
      </w:r>
    </w:p>
    <w:p w14:paraId="02851C7B">
      <w:pPr>
        <w:spacing w:after="0" w:line="560" w:lineRule="exact"/>
        <w:ind w:firstLine="632" w:firstLineChars="200"/>
        <w:textAlignment w:val="baseline"/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（二十一）提升产业链供应链国际竞争力。</w:t>
      </w:r>
      <w:r>
        <w:rPr>
          <w:rFonts w:hint="eastAsia"/>
        </w:rPr>
        <w:t>支持并培育民营跨国公司</w:t>
      </w:r>
      <w:r>
        <w:rPr>
          <w:rFonts w:hint="eastAsia"/>
          <w:lang w:eastAsia="zh-CN"/>
        </w:rPr>
        <w:t>“</w:t>
      </w:r>
      <w:r>
        <w:rPr>
          <w:rFonts w:hint="eastAsia"/>
        </w:rPr>
        <w:t>领航企业</w:t>
      </w:r>
      <w:r>
        <w:rPr>
          <w:rFonts w:hint="eastAsia"/>
          <w:lang w:eastAsia="zh-CN"/>
        </w:rPr>
        <w:t>”</w:t>
      </w:r>
      <w:r>
        <w:t>1</w:t>
      </w:r>
      <w:r>
        <w:rPr>
          <w:rFonts w:hint="eastAsia"/>
        </w:rPr>
        <w:t>家，支持企业将乐清总部打造成全球运营管理中心和设计研发中心。实施外贸龙头企业培育</w:t>
      </w:r>
      <w:r>
        <w:rPr>
          <w:rFonts w:hint="eastAsia"/>
          <w:lang w:eastAsia="zh-CN"/>
        </w:rPr>
        <w:t>“</w:t>
      </w:r>
      <w:r>
        <w:rPr>
          <w:rFonts w:hint="eastAsia"/>
        </w:rPr>
        <w:t>蛟龙行动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，支持中小外贸企业上规升级，培育一批专业化、潜力型外贸主体。完善海外综合服务体系，支持企业入驻境外经贸合作区，引导企业海外抱团发展，全年完成实际对外投资</w:t>
      </w:r>
      <w:r>
        <w:t>4500</w:t>
      </w:r>
      <w:r>
        <w:rPr>
          <w:rFonts w:hint="eastAsia"/>
        </w:rPr>
        <w:t>万美元。支持企业合理开展产业链供应链国际合作，拓展对外承包工程业务，带动产品、装备、标准有序</w:t>
      </w:r>
      <w:r>
        <w:rPr>
          <w:rFonts w:hint="eastAsia"/>
          <w:lang w:eastAsia="zh-CN"/>
        </w:rPr>
        <w:t>“</w:t>
      </w:r>
      <w:r>
        <w:rPr>
          <w:rFonts w:hint="default" w:ascii="Times New Roman"/>
        </w:rPr>
        <w:t>走出去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  <w:r>
        <w:rPr>
          <w:rFonts w:hint="eastAsia" w:eastAsia="楷体_GB2312"/>
          <w:szCs w:val="32"/>
        </w:rPr>
        <w:t>（责任单位：市商务局、市经信局）</w:t>
      </w:r>
    </w:p>
    <w:p w14:paraId="48FB3DA9">
      <w:pPr>
        <w:spacing w:after="0" w:line="560" w:lineRule="exact"/>
        <w:ind w:firstLine="632" w:firstLineChars="200"/>
        <w:textAlignment w:val="baseline"/>
        <w:rPr>
          <w:rFonts w:eastAsia="黑体"/>
          <w:szCs w:val="32"/>
        </w:rPr>
      </w:pPr>
      <w:r>
        <w:rPr>
          <w:rFonts w:hint="eastAsia" w:eastAsia="黑体"/>
          <w:szCs w:val="32"/>
          <w:lang w:bidi="ar"/>
        </w:rPr>
        <w:t>六</w:t>
      </w:r>
      <w:r>
        <w:rPr>
          <w:rFonts w:eastAsia="黑体"/>
          <w:szCs w:val="32"/>
          <w:lang w:bidi="ar"/>
        </w:rPr>
        <w:t>、</w:t>
      </w:r>
      <w:r>
        <w:rPr>
          <w:rFonts w:hint="eastAsia" w:eastAsia="黑体"/>
          <w:szCs w:val="32"/>
          <w:lang w:bidi="ar"/>
        </w:rPr>
        <w:t>全力</w:t>
      </w:r>
      <w:r>
        <w:rPr>
          <w:rFonts w:eastAsia="黑体"/>
          <w:szCs w:val="32"/>
          <w:lang w:bidi="ar"/>
        </w:rPr>
        <w:t>扩大有效投资（市发改局牵头）</w:t>
      </w:r>
    </w:p>
    <w:p w14:paraId="2C8CB306">
      <w:pPr>
        <w:spacing w:after="0" w:line="560" w:lineRule="exact"/>
        <w:ind w:firstLine="632" w:firstLineChars="200"/>
        <w:textAlignment w:val="baseline"/>
        <w:rPr>
          <w:szCs w:val="32"/>
          <w:lang w:bidi="ar"/>
        </w:rPr>
      </w:pPr>
      <w:r>
        <w:rPr>
          <w:rFonts w:hint="eastAsia"/>
          <w:szCs w:val="32"/>
          <w:lang w:bidi="ar"/>
        </w:rPr>
        <w:t>坚决落实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以项目看发展论英雄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，深入实施扩大有效投资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百项千亿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工程，</w:t>
      </w:r>
      <w:r>
        <w:rPr>
          <w:szCs w:val="32"/>
          <w:lang w:bidi="ar"/>
        </w:rPr>
        <w:t>2025</w:t>
      </w:r>
      <w:r>
        <w:rPr>
          <w:rFonts w:hint="eastAsia"/>
          <w:szCs w:val="32"/>
          <w:lang w:bidi="ar"/>
        </w:rPr>
        <w:t>年集中力量抓好</w:t>
      </w:r>
      <w:r>
        <w:rPr>
          <w:szCs w:val="32"/>
          <w:lang w:bidi="ar"/>
        </w:rPr>
        <w:t>100</w:t>
      </w:r>
      <w:r>
        <w:rPr>
          <w:rFonts w:hint="eastAsia"/>
          <w:szCs w:val="32"/>
          <w:lang w:bidi="ar"/>
        </w:rPr>
        <w:t>个以上</w:t>
      </w:r>
      <w:r>
        <w:rPr>
          <w:szCs w:val="32"/>
          <w:lang w:bidi="ar"/>
        </w:rPr>
        <w:t>百项千亿项目</w:t>
      </w:r>
      <w:r>
        <w:rPr>
          <w:rFonts w:hint="eastAsia"/>
          <w:szCs w:val="32"/>
          <w:lang w:bidi="ar"/>
        </w:rPr>
        <w:t>，计划完成投资</w:t>
      </w:r>
      <w:r>
        <w:rPr>
          <w:szCs w:val="32"/>
          <w:lang w:bidi="ar"/>
        </w:rPr>
        <w:t>182亿元以上</w:t>
      </w:r>
      <w:r>
        <w:rPr>
          <w:rFonts w:hint="eastAsia"/>
          <w:szCs w:val="32"/>
          <w:lang w:bidi="ar"/>
        </w:rPr>
        <w:t>，</w:t>
      </w:r>
      <w:r>
        <w:rPr>
          <w:szCs w:val="32"/>
          <w:lang w:bidi="ar"/>
        </w:rPr>
        <w:t>支撑固定资产投资保持稳定增长、力争</w:t>
      </w:r>
      <w:r>
        <w:rPr>
          <w:rFonts w:hint="eastAsia"/>
          <w:szCs w:val="32"/>
          <w:lang w:bidi="ar"/>
        </w:rPr>
        <w:t>实现1%以上增长。</w:t>
      </w:r>
      <w:r>
        <w:rPr>
          <w:rFonts w:hint="eastAsia"/>
          <w:szCs w:val="32"/>
        </w:rPr>
        <w:t>市级财政</w:t>
      </w:r>
      <w:r>
        <w:rPr>
          <w:szCs w:val="32"/>
        </w:rPr>
        <w:t>2025</w:t>
      </w:r>
      <w:r>
        <w:rPr>
          <w:rFonts w:hint="eastAsia"/>
          <w:szCs w:val="32"/>
        </w:rPr>
        <w:t>年预算安排资金</w:t>
      </w:r>
      <w:r>
        <w:rPr>
          <w:rFonts w:hint="default"/>
          <w:szCs w:val="32"/>
          <w:woUserID w:val="3"/>
        </w:rPr>
        <w:t>33.6</w:t>
      </w:r>
      <w:r>
        <w:rPr>
          <w:rFonts w:hint="eastAsia"/>
          <w:szCs w:val="32"/>
          <w:lang w:bidi="ar"/>
        </w:rPr>
        <w:t>亿元支持重大项目建设。保障</w:t>
      </w:r>
      <w:bookmarkStart w:id="0" w:name="_GoBack"/>
      <w:r>
        <w:rPr>
          <w:rFonts w:hint="eastAsia"/>
          <w:szCs w:val="32"/>
          <w:lang w:bidi="ar"/>
        </w:rPr>
        <w:t>供应建设用地</w:t>
      </w:r>
      <w:bookmarkEnd w:id="0"/>
      <w:r>
        <w:rPr>
          <w:szCs w:val="32"/>
          <w:lang w:bidi="ar"/>
        </w:rPr>
        <w:t>5000</w:t>
      </w:r>
      <w:r>
        <w:rPr>
          <w:rFonts w:hint="eastAsia"/>
          <w:szCs w:val="32"/>
          <w:lang w:bidi="ar"/>
        </w:rPr>
        <w:t>亩、用林</w:t>
      </w:r>
      <w:r>
        <w:rPr>
          <w:szCs w:val="32"/>
          <w:lang w:bidi="ar"/>
        </w:rPr>
        <w:t>300</w:t>
      </w:r>
      <w:r>
        <w:rPr>
          <w:rFonts w:hint="eastAsia"/>
          <w:szCs w:val="32"/>
          <w:lang w:bidi="ar"/>
        </w:rPr>
        <w:t>亩。</w:t>
      </w:r>
    </w:p>
    <w:p w14:paraId="2B210795">
      <w:pPr>
        <w:spacing w:after="0" w:line="560" w:lineRule="exact"/>
        <w:ind w:firstLine="632" w:firstLineChars="200"/>
        <w:textAlignment w:val="baseline"/>
        <w:rPr>
          <w:rFonts w:eastAsia="楷体_GB2312"/>
          <w:szCs w:val="32"/>
          <w:highlight w:val="yellow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（二十二）更大力度营造投资环境。</w:t>
      </w:r>
      <w:r>
        <w:rPr>
          <w:rFonts w:hint="eastAsia"/>
          <w:szCs w:val="32"/>
          <w:lang w:bidi="ar"/>
        </w:rPr>
        <w:t>对照省重大项目统筹机制，梳理我市跨区域、跨流域、跨周期项目，争取我市更多项目纳入上级保障盘子。积极组织申报省重大产业项目，争取省重大产业项目奖励（预支）用地指标</w:t>
      </w:r>
      <w:r>
        <w:rPr>
          <w:rFonts w:hint="default"/>
          <w:szCs w:val="32"/>
          <w:lang w:bidi="ar"/>
          <w:woUserID w:val="13"/>
        </w:rPr>
        <w:t>4</w:t>
      </w:r>
      <w:r>
        <w:rPr>
          <w:szCs w:val="32"/>
          <w:lang w:bidi="ar"/>
        </w:rPr>
        <w:t>0</w:t>
      </w:r>
      <w:r>
        <w:rPr>
          <w:rFonts w:hint="eastAsia"/>
          <w:szCs w:val="32"/>
          <w:lang w:bidi="ar"/>
        </w:rPr>
        <w:t>亩以上。工业用地（用海）保障</w:t>
      </w:r>
      <w:r>
        <w:rPr>
          <w:rFonts w:hint="default"/>
          <w:szCs w:val="32"/>
          <w:lang w:bidi="ar"/>
          <w:woUserID w:val="7"/>
        </w:rPr>
        <w:t>1300</w:t>
      </w:r>
      <w:r>
        <w:rPr>
          <w:rFonts w:hint="eastAsia"/>
          <w:szCs w:val="32"/>
          <w:lang w:bidi="ar"/>
        </w:rPr>
        <w:t>亩以上，其中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数据得地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供地超</w:t>
      </w:r>
      <w:r>
        <w:rPr>
          <w:szCs w:val="32"/>
          <w:lang w:bidi="ar"/>
        </w:rPr>
        <w:t>800</w:t>
      </w:r>
      <w:r>
        <w:rPr>
          <w:rFonts w:hint="eastAsia"/>
          <w:szCs w:val="32"/>
          <w:lang w:bidi="ar"/>
        </w:rPr>
        <w:t>亩。全力推进老旧工业区改造，推行分行业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工业上楼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，力争全年拆除</w:t>
      </w:r>
      <w:r>
        <w:rPr>
          <w:rFonts w:hint="default"/>
          <w:szCs w:val="32"/>
          <w:lang w:bidi="ar"/>
          <w:woUserID w:val="12"/>
        </w:rPr>
        <w:t>300</w:t>
      </w:r>
      <w:r>
        <w:rPr>
          <w:rFonts w:hint="eastAsia"/>
          <w:szCs w:val="32"/>
          <w:lang w:bidi="ar"/>
        </w:rPr>
        <w:t>亩，重建</w:t>
      </w:r>
      <w:r>
        <w:rPr>
          <w:rFonts w:hint="default"/>
          <w:szCs w:val="32"/>
          <w:lang w:bidi="ar"/>
          <w:woUserID w:val="12"/>
        </w:rPr>
        <w:t>30</w:t>
      </w:r>
      <w:r>
        <w:rPr>
          <w:rFonts w:hint="eastAsia"/>
          <w:szCs w:val="32"/>
          <w:lang w:bidi="ar"/>
        </w:rPr>
        <w:t>万平方米以上。鼓励</w:t>
      </w:r>
      <w:r>
        <w:rPr>
          <w:szCs w:val="32"/>
          <w:lang w:bidi="ar"/>
        </w:rPr>
        <w:t>推进</w:t>
      </w:r>
      <w:r>
        <w:rPr>
          <w:rFonts w:hint="eastAsia"/>
          <w:szCs w:val="32"/>
          <w:lang w:bidi="ar"/>
        </w:rPr>
        <w:t>多元空间供给，推进市域统筹机制，提高地企匹配精准度。</w:t>
      </w:r>
      <w:r>
        <w:rPr>
          <w:rFonts w:cs="Times New Roman"/>
          <w:szCs w:val="32"/>
        </w:rPr>
        <w:t>保障省重大建设项目使用林地定额</w:t>
      </w:r>
      <w:r>
        <w:rPr>
          <w:rFonts w:hint="default" w:cs="Times New Roman"/>
          <w:szCs w:val="32"/>
        </w:rPr>
        <w:t>1500</w:t>
      </w:r>
      <w:r>
        <w:rPr>
          <w:rFonts w:cs="Times New Roman"/>
          <w:szCs w:val="32"/>
        </w:rPr>
        <w:t>亩。</w:t>
      </w:r>
      <w:r>
        <w:rPr>
          <w:rFonts w:hint="eastAsia" w:eastAsia="楷体_GB2312"/>
          <w:szCs w:val="32"/>
          <w:lang w:bidi="ar"/>
        </w:rPr>
        <w:t>（责任单位：市发改局、市经信局、市自然资源和规划局）</w:t>
      </w:r>
    </w:p>
    <w:p w14:paraId="3C72CAD6">
      <w:pPr>
        <w:spacing w:after="0" w:line="560" w:lineRule="exact"/>
        <w:ind w:firstLine="632" w:firstLineChars="200"/>
        <w:textAlignment w:val="baseline"/>
        <w:rPr>
          <w:rFonts w:eastAsia="楷体_GB2312"/>
          <w:szCs w:val="32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（二十三）全力争取国家政策支持。</w:t>
      </w:r>
      <w:r>
        <w:rPr>
          <w:rFonts w:hint="eastAsia"/>
          <w:szCs w:val="32"/>
          <w:lang w:bidi="ar"/>
        </w:rPr>
        <w:t>抢抓国家政策契机，全力争取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两重</w:t>
      </w:r>
      <w:r>
        <w:rPr>
          <w:rFonts w:hint="eastAsia"/>
          <w:szCs w:val="32"/>
          <w:lang w:eastAsia="zh-CN" w:bidi="ar"/>
        </w:rPr>
        <w:t>”“</w:t>
      </w:r>
      <w:r>
        <w:rPr>
          <w:rFonts w:hint="eastAsia"/>
          <w:szCs w:val="32"/>
          <w:lang w:bidi="ar"/>
        </w:rPr>
        <w:t>两新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资金、中央预算内投资等资金支持。积极运用地方专项债资金加大收回收购存量闲置土地。持续发挥政策性金融职能作用，力争投放政策性贷款</w:t>
      </w:r>
      <w:r>
        <w:rPr>
          <w:szCs w:val="32"/>
          <w:lang w:bidi="ar"/>
        </w:rPr>
        <w:t>15</w:t>
      </w:r>
      <w:r>
        <w:rPr>
          <w:rFonts w:hint="eastAsia"/>
          <w:szCs w:val="32"/>
          <w:lang w:bidi="ar"/>
        </w:rPr>
        <w:t>亿元。加大对市政、物流、能源等基础设施项目盘活力度，常态化做好基础设施不动产信托基金</w:t>
      </w:r>
      <w:r>
        <w:rPr>
          <w:szCs w:val="32"/>
          <w:lang w:bidi="ar"/>
        </w:rPr>
        <w:t>REITs</w:t>
      </w:r>
      <w:r>
        <w:rPr>
          <w:rFonts w:hint="eastAsia"/>
          <w:szCs w:val="32"/>
          <w:lang w:bidi="ar"/>
        </w:rPr>
        <w:t>项目储备工作。力争</w:t>
      </w:r>
      <w:r>
        <w:rPr>
          <w:rFonts w:hint="default"/>
          <w:szCs w:val="32"/>
          <w:lang w:bidi="ar"/>
          <w:woUserID w:val="2"/>
        </w:rPr>
        <w:t>1</w:t>
      </w:r>
      <w:r>
        <w:rPr>
          <w:rFonts w:hint="eastAsia"/>
          <w:szCs w:val="32"/>
          <w:lang w:bidi="ar"/>
        </w:rPr>
        <w:t>个以上项目纳入国家用地保障范围。</w:t>
      </w:r>
      <w:r>
        <w:rPr>
          <w:rFonts w:eastAsia="楷体_GB2312"/>
          <w:szCs w:val="32"/>
          <w:lang w:bidi="ar"/>
        </w:rPr>
        <w:t>（责任单位：市发改局</w:t>
      </w:r>
      <w:r>
        <w:rPr>
          <w:rFonts w:hint="eastAsia" w:eastAsia="楷体_GB2312"/>
          <w:szCs w:val="32"/>
          <w:lang w:bidi="ar"/>
        </w:rPr>
        <w:t>、市财政局、</w:t>
      </w:r>
      <w:r>
        <w:rPr>
          <w:rFonts w:eastAsia="楷体_GB2312"/>
          <w:szCs w:val="32"/>
          <w:lang w:bidi="ar"/>
        </w:rPr>
        <w:t>市金融工作服务中心</w:t>
      </w:r>
      <w:r>
        <w:rPr>
          <w:rFonts w:hint="eastAsia" w:eastAsia="楷体_GB2312"/>
          <w:szCs w:val="32"/>
          <w:lang w:bidi="ar"/>
        </w:rPr>
        <w:t>、</w:t>
      </w:r>
      <w:r>
        <w:rPr>
          <w:rFonts w:eastAsia="楷体_GB2312"/>
          <w:szCs w:val="32"/>
          <w:lang w:bidi="ar"/>
        </w:rPr>
        <w:t>人行乐清营管部、</w:t>
      </w:r>
      <w:r>
        <w:rPr>
          <w:rFonts w:hint="eastAsia" w:eastAsia="楷体_GB2312"/>
          <w:szCs w:val="32"/>
          <w:lang w:bidi="ar"/>
        </w:rPr>
        <w:t>市自然资源和规划局</w:t>
      </w:r>
      <w:r>
        <w:rPr>
          <w:rFonts w:eastAsia="楷体_GB2312"/>
          <w:szCs w:val="32"/>
          <w:lang w:bidi="ar"/>
        </w:rPr>
        <w:t>）</w:t>
      </w:r>
    </w:p>
    <w:p w14:paraId="2B6E7A2D">
      <w:pPr>
        <w:spacing w:after="0" w:line="560" w:lineRule="exact"/>
        <w:ind w:firstLine="640"/>
        <w:textAlignment w:val="baseline"/>
        <w:rPr>
          <w:rFonts w:eastAsia="楷体_GB2312"/>
          <w:szCs w:val="32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（二十四）加大对民间投资支持力度。</w:t>
      </w:r>
      <w:r>
        <w:rPr>
          <w:rFonts w:hint="eastAsia"/>
          <w:szCs w:val="32"/>
          <w:lang w:bidi="ar"/>
        </w:rPr>
        <w:t>深化落实全省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民营经济</w:t>
      </w:r>
      <w:r>
        <w:rPr>
          <w:szCs w:val="32"/>
          <w:lang w:bidi="ar"/>
        </w:rPr>
        <w:t>32</w:t>
      </w:r>
      <w:r>
        <w:rPr>
          <w:rFonts w:hint="eastAsia"/>
          <w:szCs w:val="32"/>
          <w:lang w:bidi="ar"/>
        </w:rPr>
        <w:t>条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和全市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民营经济</w:t>
      </w:r>
      <w:r>
        <w:rPr>
          <w:szCs w:val="32"/>
          <w:lang w:bidi="ar"/>
        </w:rPr>
        <w:t>195</w:t>
      </w:r>
      <w:r>
        <w:rPr>
          <w:rFonts w:hint="eastAsia"/>
          <w:szCs w:val="32"/>
          <w:lang w:bidi="ar"/>
        </w:rPr>
        <w:t>条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，力争市产业高质量发展引导基金、新增用地和存量用地、新增能耗等要素投向民间投资项目比重，在</w:t>
      </w:r>
      <w:r>
        <w:rPr>
          <w:szCs w:val="32"/>
          <w:lang w:bidi="ar"/>
        </w:rPr>
        <w:t>2024</w:t>
      </w:r>
      <w:r>
        <w:rPr>
          <w:rFonts w:hint="eastAsia"/>
          <w:szCs w:val="32"/>
          <w:lang w:bidi="ar"/>
        </w:rPr>
        <w:t>年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3</w:t>
      </w:r>
      <w:r>
        <w:rPr>
          <w:rFonts w:hint="eastAsia"/>
          <w:szCs w:val="32"/>
          <w:lang w:bidi="ar"/>
        </w:rPr>
        <w:t>个</w:t>
      </w:r>
      <w:r>
        <w:rPr>
          <w:szCs w:val="32"/>
          <w:lang w:bidi="ar"/>
        </w:rPr>
        <w:t>70%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基础上进一步提高到</w:t>
      </w:r>
      <w:r>
        <w:rPr>
          <w:rFonts w:hint="eastAsia"/>
          <w:szCs w:val="32"/>
          <w:lang w:eastAsia="zh-CN" w:bidi="ar"/>
        </w:rPr>
        <w:t>“</w:t>
      </w:r>
      <w:r>
        <w:rPr>
          <w:szCs w:val="32"/>
          <w:lang w:bidi="ar"/>
        </w:rPr>
        <w:t>3</w:t>
      </w:r>
      <w:r>
        <w:rPr>
          <w:rFonts w:hint="eastAsia"/>
          <w:szCs w:val="32"/>
          <w:lang w:bidi="ar"/>
        </w:rPr>
        <w:t>个</w:t>
      </w:r>
      <w:r>
        <w:rPr>
          <w:szCs w:val="32"/>
          <w:lang w:bidi="ar"/>
        </w:rPr>
        <w:t>80%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。鼓励民营资本参与能源等重大基础设施投资，围绕重大工程和补短板、重点产业链供应链、完全使用者付费的特许经营项目等</w:t>
      </w:r>
      <w:r>
        <w:rPr>
          <w:szCs w:val="32"/>
          <w:lang w:bidi="ar"/>
        </w:rPr>
        <w:t>3</w:t>
      </w:r>
      <w:r>
        <w:rPr>
          <w:rFonts w:hint="eastAsia"/>
          <w:szCs w:val="32"/>
          <w:lang w:bidi="ar"/>
        </w:rPr>
        <w:t>类项目清单，常态化梳理储备一批推介给民间资本的重大项目，</w:t>
      </w:r>
      <w:r>
        <w:rPr>
          <w:szCs w:val="32"/>
          <w:lang w:bidi="ar"/>
        </w:rPr>
        <w:t>2025</w:t>
      </w:r>
      <w:r>
        <w:rPr>
          <w:rFonts w:hint="eastAsia"/>
          <w:szCs w:val="32"/>
          <w:lang w:bidi="ar"/>
        </w:rPr>
        <w:t>年向民间资本推介重大项目不少于</w:t>
      </w:r>
      <w:r>
        <w:rPr>
          <w:szCs w:val="32"/>
          <w:lang w:bidi="ar"/>
        </w:rPr>
        <w:t>2</w:t>
      </w:r>
      <w:r>
        <w:rPr>
          <w:rFonts w:hint="eastAsia"/>
          <w:szCs w:val="32"/>
          <w:lang w:bidi="ar"/>
        </w:rPr>
        <w:t>个。全力保障中小企业用地需求，符合省用地保障条件的，争取纳入省新增建设用地计划指标。</w:t>
      </w:r>
      <w:r>
        <w:rPr>
          <w:rFonts w:hint="eastAsia" w:eastAsia="楷体_GB2312"/>
          <w:szCs w:val="32"/>
          <w:lang w:bidi="ar"/>
        </w:rPr>
        <w:t>（责任单位：市发改局、市财政局、市科技局、市自然资源和规划局）</w:t>
      </w:r>
    </w:p>
    <w:p w14:paraId="23D20D44">
      <w:pPr>
        <w:spacing w:after="0" w:line="560" w:lineRule="exact"/>
        <w:ind w:firstLine="640"/>
        <w:rPr>
          <w:rFonts w:eastAsia="楷体_GB2312"/>
          <w:szCs w:val="32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（二十五）强化用能要素保障。</w:t>
      </w:r>
      <w:r>
        <w:rPr>
          <w:rFonts w:hint="eastAsia"/>
          <w:szCs w:val="32"/>
          <w:lang w:bidi="ar"/>
        </w:rPr>
        <w:t>对列入省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千项万亿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、市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百项千亿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工程年度实施计划的重大项目用能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应保尽保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，原则上前置条件齐全项目所需的能耗指标</w:t>
      </w:r>
      <w:r>
        <w:rPr>
          <w:szCs w:val="32"/>
          <w:lang w:bidi="ar"/>
        </w:rPr>
        <w:t>2</w:t>
      </w:r>
      <w:r>
        <w:rPr>
          <w:rFonts w:hint="eastAsia"/>
          <w:szCs w:val="32"/>
          <w:lang w:bidi="ar"/>
        </w:rPr>
        <w:t>月底前落实到位。对于符合条件的新上项目，允许通过承诺非化石能源消费或购买省外绿证等形式平衡所需能耗，非化石能源消费承诺比例不低于</w:t>
      </w:r>
      <w:r>
        <w:rPr>
          <w:szCs w:val="32"/>
          <w:lang w:bidi="ar"/>
        </w:rPr>
        <w:t>50%</w:t>
      </w:r>
      <w:r>
        <w:rPr>
          <w:rFonts w:hint="eastAsia"/>
          <w:szCs w:val="32"/>
          <w:lang w:bidi="ar"/>
        </w:rPr>
        <w:t>。加快实施一批超长期国债用能设备更新项目。保障全社会电量供给</w:t>
      </w:r>
      <w:r>
        <w:rPr>
          <w:szCs w:val="32"/>
          <w:lang w:bidi="ar"/>
        </w:rPr>
        <w:t>107</w:t>
      </w:r>
      <w:r>
        <w:rPr>
          <w:rFonts w:hint="eastAsia"/>
          <w:szCs w:val="32"/>
          <w:lang w:bidi="ar"/>
        </w:rPr>
        <w:t>亿千瓦时左右、天然气供应</w:t>
      </w:r>
      <w:r>
        <w:rPr>
          <w:szCs w:val="32"/>
          <w:lang w:bidi="ar"/>
        </w:rPr>
        <w:t>0.46</w:t>
      </w:r>
      <w:r>
        <w:rPr>
          <w:rFonts w:hint="eastAsia"/>
          <w:szCs w:val="32"/>
          <w:lang w:bidi="ar"/>
        </w:rPr>
        <w:t>亿方以上，安排绿电交易</w:t>
      </w:r>
      <w:r>
        <w:rPr>
          <w:szCs w:val="32"/>
          <w:lang w:bidi="ar"/>
        </w:rPr>
        <w:t>1.3</w:t>
      </w:r>
      <w:r>
        <w:rPr>
          <w:rFonts w:hint="eastAsia"/>
          <w:szCs w:val="32"/>
          <w:lang w:bidi="ar"/>
        </w:rPr>
        <w:t>亿千瓦时以上。服务工商业用户完成交易电量</w:t>
      </w:r>
      <w:r>
        <w:rPr>
          <w:szCs w:val="32"/>
          <w:lang w:bidi="ar"/>
        </w:rPr>
        <w:t>42</w:t>
      </w:r>
      <w:r>
        <w:rPr>
          <w:rFonts w:hint="eastAsia"/>
          <w:szCs w:val="32"/>
          <w:lang w:bidi="ar"/>
        </w:rPr>
        <w:t>亿千瓦时左右。</w:t>
      </w:r>
      <w:r>
        <w:rPr>
          <w:rFonts w:hint="eastAsia" w:eastAsia="楷体_GB2312"/>
          <w:szCs w:val="32"/>
          <w:lang w:bidi="ar"/>
        </w:rPr>
        <w:t>（责任单位：市发改局、市供电局、市经信局）</w:t>
      </w:r>
    </w:p>
    <w:p w14:paraId="60426CAB">
      <w:pPr>
        <w:pStyle w:val="32"/>
        <w:spacing w:after="0" w:line="560" w:lineRule="exact"/>
        <w:ind w:firstLine="632"/>
        <w:textAlignment w:val="baseline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七、推进城乡融合</w:t>
      </w:r>
      <w:r>
        <w:rPr>
          <w:rFonts w:hint="eastAsia" w:ascii="Times New Roman" w:hAnsi="Times New Roman" w:eastAsia="黑体"/>
        </w:rPr>
        <w:t>发展</w:t>
      </w:r>
      <w:r>
        <w:rPr>
          <w:rFonts w:ascii="Times New Roman" w:hAnsi="Times New Roman" w:eastAsia="黑体"/>
        </w:rPr>
        <w:t>（</w:t>
      </w:r>
      <w:r>
        <w:rPr>
          <w:rFonts w:hint="eastAsia" w:ascii="Times New Roman" w:hAnsi="Times New Roman" w:eastAsia="黑体"/>
        </w:rPr>
        <w:t>市</w:t>
      </w:r>
      <w:r>
        <w:rPr>
          <w:rFonts w:ascii="Times New Roman" w:hAnsi="Times New Roman" w:eastAsia="黑体"/>
        </w:rPr>
        <w:t>农业农村</w:t>
      </w:r>
      <w:r>
        <w:rPr>
          <w:rFonts w:hint="eastAsia" w:ascii="Times New Roman" w:hAnsi="Times New Roman" w:eastAsia="黑体"/>
        </w:rPr>
        <w:t>局</w:t>
      </w:r>
      <w:r>
        <w:rPr>
          <w:rFonts w:ascii="Times New Roman" w:hAnsi="Times New Roman" w:eastAsia="黑体"/>
        </w:rPr>
        <w:t>牵头）</w:t>
      </w:r>
    </w:p>
    <w:p w14:paraId="7918C609">
      <w:pPr>
        <w:pStyle w:val="32"/>
        <w:spacing w:after="0" w:line="560" w:lineRule="exact"/>
        <w:ind w:firstLine="632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/>
        </w:rPr>
        <w:t>以缩小三大差距为主攻方向，</w:t>
      </w:r>
      <w:r>
        <w:rPr>
          <w:rFonts w:ascii="Times New Roman" w:hAnsi="Times New Roman" w:cs="Times New Roman"/>
        </w:rPr>
        <w:t>运用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千万工程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经验做法，坚持以县域为基本单元，</w:t>
      </w:r>
      <w:r>
        <w:rPr>
          <w:rFonts w:hint="eastAsia" w:ascii="Times New Roman" w:hAnsi="Times New Roman"/>
          <w:szCs w:val="24"/>
        </w:rPr>
        <w:t>一体</w:t>
      </w:r>
      <w:r>
        <w:rPr>
          <w:rFonts w:hint="eastAsia" w:ascii="Times New Roman" w:hAnsi="Times New Roman"/>
        </w:rPr>
        <w:t>推进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强城</w:t>
      </w:r>
      <w:r>
        <w:rPr>
          <w:rFonts w:hint="eastAsia" w:ascii="Times New Roman" w:hAnsi="Times New Roman"/>
          <w:lang w:eastAsia="zh-CN"/>
        </w:rPr>
        <w:t>”“</w:t>
      </w:r>
      <w:r>
        <w:rPr>
          <w:rFonts w:hint="eastAsia" w:ascii="Times New Roman" w:hAnsi="Times New Roman"/>
        </w:rPr>
        <w:t>兴村</w:t>
      </w:r>
      <w:r>
        <w:rPr>
          <w:rFonts w:hint="eastAsia" w:ascii="Times New Roman" w:hAnsi="Times New Roman"/>
          <w:lang w:eastAsia="zh-CN"/>
        </w:rPr>
        <w:t>”“</w:t>
      </w:r>
      <w:r>
        <w:rPr>
          <w:rFonts w:hint="eastAsia" w:ascii="Times New Roman" w:hAnsi="Times New Roman"/>
        </w:rPr>
        <w:t>融合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，推动城乡区域实现更高水平的均衡协调发展。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年，全市城乡居民收入倍差持续下降。市级财政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年预算安排资金</w:t>
      </w:r>
      <w:r>
        <w:rPr>
          <w:rFonts w:hint="eastAsia" w:ascii="Times New Roman" w:hAnsi="Times New Roman"/>
          <w:lang w:val="en-US" w:eastAsia="zh-CN"/>
          <w:woUserID w:val="3"/>
        </w:rPr>
        <w:t>8.08</w:t>
      </w:r>
      <w:r>
        <w:rPr>
          <w:rFonts w:hint="eastAsia" w:ascii="Times New Roman" w:hAnsi="Times New Roman"/>
        </w:rPr>
        <w:t>亿元。其中，重点支持城乡融合发展</w:t>
      </w:r>
      <w:r>
        <w:rPr>
          <w:rFonts w:hint="default" w:ascii="Times New Roman" w:hAnsi="Times New Roman"/>
          <w:lang w:eastAsia="zh-CN"/>
          <w:woUserID w:val="3"/>
        </w:rPr>
        <w:t>3.</w:t>
      </w:r>
      <w:r>
        <w:rPr>
          <w:rFonts w:hint="eastAsia" w:ascii="Times New Roman" w:hAnsi="Times New Roman"/>
          <w:lang w:val="en-US" w:eastAsia="zh-CN"/>
          <w:woUserID w:val="3"/>
        </w:rPr>
        <w:t>49</w:t>
      </w:r>
      <w:r>
        <w:rPr>
          <w:rFonts w:hint="eastAsia" w:ascii="Times New Roman" w:hAnsi="Times New Roman"/>
        </w:rPr>
        <w:t>亿元，乡村振兴</w:t>
      </w:r>
      <w:r>
        <w:rPr>
          <w:rFonts w:hint="default" w:ascii="Times New Roman" w:hAnsi="Times New Roman"/>
          <w:woUserID w:val="3"/>
        </w:rPr>
        <w:t>4.5</w:t>
      </w:r>
      <w:r>
        <w:rPr>
          <w:rFonts w:hint="eastAsia" w:ascii="Times New Roman" w:hAnsi="Times New Roman"/>
          <w:lang w:val="en-US" w:eastAsia="zh-CN"/>
          <w:woUserID w:val="3"/>
        </w:rPr>
        <w:t>9</w:t>
      </w:r>
      <w:r>
        <w:rPr>
          <w:rFonts w:hint="eastAsia" w:ascii="Times New Roman" w:hAnsi="Times New Roman"/>
        </w:rPr>
        <w:t>亿元等。</w:t>
      </w:r>
    </w:p>
    <w:p w14:paraId="6DCA0651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（二十六）推进以县城为重要载体的城镇化建设。</w:t>
      </w:r>
      <w:r>
        <w:rPr>
          <w:rFonts w:ascii="Times New Roman" w:hAnsi="Times New Roman"/>
        </w:rPr>
        <w:t>实施县城综合承载能力提升重点项目102个左右，完成投资100亿元以上。推动政策性银行安排15亿元信贷资金，重点支持县域城镇化建设</w:t>
      </w:r>
      <w:r>
        <w:rPr>
          <w:rFonts w:hint="eastAsia" w:ascii="Times New Roman" w:hAnsi="Times New Roman"/>
        </w:rPr>
        <w:t>。</w:t>
      </w:r>
      <w:r>
        <w:rPr>
          <w:rFonts w:hint="eastAsia" w:ascii="Times New Roman" w:hAnsi="Times New Roman" w:eastAsia="楷体_GB2312"/>
        </w:rPr>
        <w:t>（责任单位：市发改局、市财政局、市金融工作服务中心、国家金融监督管理总局乐清监管支局）</w:t>
      </w:r>
    </w:p>
    <w:p w14:paraId="21A3209C">
      <w:pPr>
        <w:spacing w:after="0" w:line="560" w:lineRule="exact"/>
        <w:ind w:firstLine="632" w:firstLineChars="200"/>
        <w:textAlignment w:val="baseline"/>
        <w:rPr>
          <w:sz w:val="21"/>
          <w:szCs w:val="21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（二十七）积极推进农业转移人口市民化。</w:t>
      </w:r>
      <w:r>
        <w:rPr>
          <w:szCs w:val="32"/>
        </w:rPr>
        <w:t>积极落实户籍管理制度改革政策，健全常住地提供基本公共服务制度，完善以居住证为载体、以积分制为依据的紧缺公共服务梯度供给制度，</w:t>
      </w:r>
      <w:r>
        <w:rPr>
          <w:rFonts w:hint="eastAsia"/>
          <w:szCs w:val="32"/>
          <w:lang w:val="en-US" w:eastAsia="zh-CN"/>
        </w:rPr>
        <w:t>保障符合条件的农业转移人口</w:t>
      </w:r>
      <w:r>
        <w:rPr>
          <w:szCs w:val="32"/>
        </w:rPr>
        <w:t>社保、随迁子女教育等权利。2025年，常住人口城镇化率达70%</w:t>
      </w:r>
      <w:r>
        <w:rPr>
          <w:rFonts w:hint="eastAsia"/>
          <w:szCs w:val="32"/>
          <w:lang w:val="en-US" w:eastAsia="zh-CN"/>
          <w:woUserID w:val="11"/>
        </w:rPr>
        <w:t>以上</w:t>
      </w:r>
      <w:r>
        <w:rPr>
          <w:szCs w:val="32"/>
        </w:rPr>
        <w:t>。</w:t>
      </w:r>
      <w:r>
        <w:rPr>
          <w:rFonts w:hint="eastAsia"/>
          <w:szCs w:val="32"/>
        </w:rPr>
        <w:t>（</w:t>
      </w:r>
      <w:r>
        <w:rPr>
          <w:rFonts w:hint="eastAsia" w:eastAsia="楷体_GB2312"/>
          <w:szCs w:val="32"/>
          <w:lang w:bidi="ar"/>
        </w:rPr>
        <w:t>责任单位：</w:t>
      </w:r>
      <w:r>
        <w:rPr>
          <w:rFonts w:hint="eastAsia" w:eastAsia="楷体_GB2312"/>
          <w:szCs w:val="32"/>
        </w:rPr>
        <w:t>市发改局、市财政局、市教育局、市人力社保局、市医疗保障局</w:t>
      </w:r>
      <w:r>
        <w:rPr>
          <w:rFonts w:hint="eastAsia" w:eastAsia="楷体_GB2312"/>
          <w:szCs w:val="32"/>
          <w:lang w:bidi="ar"/>
        </w:rPr>
        <w:t>）</w:t>
      </w:r>
    </w:p>
    <w:p w14:paraId="6D273F3E">
      <w:pPr>
        <w:pStyle w:val="32"/>
        <w:spacing w:after="0" w:line="560" w:lineRule="exact"/>
        <w:ind w:firstLine="634"/>
        <w:rPr>
          <w:rFonts w:hint="eastAsia" w:ascii="Times New Roman" w:hAnsi="Times New Roman" w:eastAsia="楷体_GB2312"/>
          <w:b/>
          <w:bCs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（二十八）全面推进乡村振兴。</w:t>
      </w:r>
      <w:r>
        <w:rPr>
          <w:rFonts w:hint="eastAsia" w:ascii="Times New Roman" w:hAnsi="Times New Roman"/>
          <w:highlight w:val="none"/>
        </w:rPr>
        <w:t>推进粮食和重要农产品稳产保供。加快雁荡山铁皮石斛全产业链发展，以石斛小镇为核心，推动铁皮石斛产业项目落地投产。</w:t>
      </w:r>
      <w:r>
        <w:rPr>
          <w:rFonts w:hint="eastAsia" w:ascii="Times New Roman" w:hAnsi="Times New Roman"/>
        </w:rPr>
        <w:t>加快农业关键核心技术攻关。积极落实农机报废更新补贴政策，全市报废老旧农机具</w:t>
      </w:r>
      <w:r>
        <w:rPr>
          <w:rFonts w:ascii="Times New Roman" w:hAnsi="Times New Roman"/>
        </w:rPr>
        <w:t>150</w:t>
      </w:r>
      <w:r>
        <w:rPr>
          <w:rFonts w:hint="eastAsia" w:ascii="Times New Roman" w:hAnsi="Times New Roman"/>
        </w:rPr>
        <w:t>台以上。持续开展农机购置补贴，力争全市新增农机购置补贴机具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00</w:t>
      </w:r>
      <w:r>
        <w:rPr>
          <w:rFonts w:hint="eastAsia" w:ascii="Times New Roman" w:hAnsi="Times New Roman"/>
        </w:rPr>
        <w:t>台（套）以上。新建省级现代化农事服务中心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个。贯彻落实现代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新农人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培育行动和农创客培育工程，培育现代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新农人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750</w:t>
      </w:r>
      <w:r>
        <w:rPr>
          <w:rFonts w:hint="eastAsia" w:ascii="Times New Roman" w:hAnsi="Times New Roman"/>
        </w:rPr>
        <w:t>人，农创客</w:t>
      </w:r>
      <w:r>
        <w:rPr>
          <w:rFonts w:ascii="Times New Roman" w:hAnsi="Times New Roman"/>
        </w:rPr>
        <w:t>230</w:t>
      </w:r>
      <w:r>
        <w:rPr>
          <w:rFonts w:hint="eastAsia" w:ascii="Times New Roman" w:hAnsi="Times New Roman"/>
        </w:rPr>
        <w:t>人。</w:t>
      </w:r>
      <w:r>
        <w:rPr>
          <w:rFonts w:ascii="Times New Roman" w:hAnsi="Times New Roman"/>
        </w:rPr>
        <w:t>持续推进科技特派员工作。</w:t>
      </w:r>
      <w:r>
        <w:rPr>
          <w:rFonts w:hint="eastAsia" w:ascii="Times New Roman" w:hAnsi="Times New Roman"/>
        </w:rPr>
        <w:t>推进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一县一带一片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建设，健全农村人居环境整治提升长效管理机制。推动</w:t>
      </w:r>
      <w:r>
        <w:rPr>
          <w:rFonts w:ascii="Times New Roman" w:hAnsi="Times New Roman"/>
        </w:rPr>
        <w:t>104</w:t>
      </w:r>
      <w:r>
        <w:rPr>
          <w:rFonts w:hint="eastAsia" w:ascii="Times New Roman" w:hAnsi="Times New Roman"/>
        </w:rPr>
        <w:t>个行政村村道提升，完成村内道路提升</w:t>
      </w:r>
      <w:r>
        <w:rPr>
          <w:rFonts w:ascii="Times New Roman" w:hAnsi="Times New Roman"/>
        </w:rPr>
        <w:t>104</w:t>
      </w:r>
      <w:r>
        <w:rPr>
          <w:rFonts w:hint="eastAsia" w:ascii="Times New Roman" w:hAnsi="Times New Roman"/>
        </w:rPr>
        <w:t>公里，新建乡村公共充电枪</w:t>
      </w:r>
      <w:r>
        <w:rPr>
          <w:rFonts w:ascii="Times New Roman" w:hAnsi="Times New Roman"/>
        </w:rPr>
        <w:t>260</w:t>
      </w:r>
      <w:r>
        <w:rPr>
          <w:rFonts w:hint="eastAsia" w:ascii="Times New Roman" w:hAnsi="Times New Roman"/>
        </w:rPr>
        <w:t>把以上</w:t>
      </w:r>
      <w:r>
        <w:rPr>
          <w:rFonts w:hint="default" w:ascii="Times New Roman" w:hAnsi="Times New Roman"/>
          <w:woUserID w:val="1"/>
        </w:rPr>
        <w:t>。</w:t>
      </w:r>
      <w:r>
        <w:rPr>
          <w:rFonts w:hint="eastAsia" w:ascii="Times New Roman" w:hAnsi="Times New Roman"/>
        </w:rPr>
        <w:t>利用城乡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金角银边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场地新增村级健身广场、体育公园等便民设施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个。</w:t>
      </w:r>
      <w:r>
        <w:rPr>
          <w:rFonts w:hint="eastAsia" w:ascii="Times New Roman" w:hAnsi="Times New Roman" w:eastAsia="楷体_GB2312"/>
        </w:rPr>
        <w:t>（责任单位：市农业农村局、市财政局、市科技局、市发改局、市水利局、市体育事业发展中心）</w:t>
      </w:r>
    </w:p>
    <w:p w14:paraId="2AD22E70">
      <w:pPr>
        <w:pStyle w:val="32"/>
        <w:spacing w:after="0" w:line="560" w:lineRule="exact"/>
        <w:ind w:firstLine="634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（二十九）推进土地综合整治。</w:t>
      </w:r>
      <w:r>
        <w:rPr>
          <w:rFonts w:hint="eastAsia" w:ascii="Times New Roman" w:hAnsi="Times New Roman"/>
        </w:rPr>
        <w:t>探索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土地综合整治</w:t>
      </w:r>
      <w:r>
        <w:rPr>
          <w:rFonts w:ascii="Times New Roman" w:hAnsi="Times New Roman"/>
        </w:rPr>
        <w:t>+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新模式，综合运用土地综合整治、永久基本农田集中连片整治、高标准农田新建和改造提升、耕地功能恢复（垦造）等手段，深化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多田套合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，稳步拓展农业发展空间，优化农用地布局，提升农业空间治理水平。耕地功能恢复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000</w:t>
      </w:r>
      <w:r>
        <w:rPr>
          <w:rFonts w:hint="eastAsia" w:ascii="Times New Roman" w:hAnsi="Times New Roman"/>
        </w:rPr>
        <w:t>亩，新增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多田套合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面积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000</w:t>
      </w:r>
      <w:r>
        <w:rPr>
          <w:rFonts w:hint="eastAsia" w:ascii="Times New Roman" w:hAnsi="Times New Roman"/>
        </w:rPr>
        <w:t>亩；高标准农田建设（认定）</w:t>
      </w:r>
      <w:r>
        <w:rPr>
          <w:rFonts w:ascii="Times New Roman" w:hAnsi="Times New Roman"/>
        </w:rPr>
        <w:t>8600</w:t>
      </w:r>
      <w:r>
        <w:rPr>
          <w:rFonts w:hint="eastAsia" w:ascii="Times New Roman" w:hAnsi="Times New Roman"/>
        </w:rPr>
        <w:t>亩。</w:t>
      </w:r>
      <w:r>
        <w:rPr>
          <w:rFonts w:hint="eastAsia" w:ascii="Times New Roman" w:hAnsi="Times New Roman" w:eastAsia="楷体_GB2312"/>
        </w:rPr>
        <w:t>（责任单位：市自然资源和规划局、市农业农村</w:t>
      </w:r>
      <w:r>
        <w:rPr>
          <w:rFonts w:hint="eastAsia" w:ascii="Times New Roman" w:hAnsi="Times New Roman" w:eastAsia="楷体_GB2312"/>
          <w:lang w:bidi="ar"/>
        </w:rPr>
        <w:t>局</w:t>
      </w:r>
      <w:r>
        <w:rPr>
          <w:rFonts w:hint="eastAsia" w:ascii="Times New Roman" w:hAnsi="Times New Roman" w:eastAsia="楷体_GB2312"/>
        </w:rPr>
        <w:t>）</w:t>
      </w:r>
    </w:p>
    <w:p w14:paraId="78EE3337">
      <w:pPr>
        <w:pStyle w:val="32"/>
        <w:spacing w:after="0" w:line="560" w:lineRule="exact"/>
        <w:ind w:firstLine="632"/>
        <w:textAlignment w:val="baseline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八、保障和改善民生（</w:t>
      </w:r>
      <w:r>
        <w:rPr>
          <w:rFonts w:hint="eastAsia" w:ascii="Times New Roman" w:hAnsi="Times New Roman" w:eastAsia="黑体"/>
        </w:rPr>
        <w:t>市</w:t>
      </w:r>
      <w:r>
        <w:rPr>
          <w:rFonts w:ascii="Times New Roman" w:hAnsi="Times New Roman" w:eastAsia="黑体"/>
        </w:rPr>
        <w:t>人力社保</w:t>
      </w:r>
      <w:r>
        <w:rPr>
          <w:rFonts w:hint="eastAsia" w:ascii="Times New Roman" w:hAnsi="Times New Roman" w:eastAsia="黑体"/>
        </w:rPr>
        <w:t>局</w:t>
      </w:r>
      <w:r>
        <w:rPr>
          <w:rFonts w:ascii="Times New Roman" w:hAnsi="Times New Roman" w:eastAsia="黑体"/>
        </w:rPr>
        <w:t>牵头）</w:t>
      </w:r>
    </w:p>
    <w:p w14:paraId="26430584">
      <w:pPr>
        <w:pStyle w:val="32"/>
        <w:spacing w:after="0" w:line="560" w:lineRule="exact"/>
        <w:ind w:firstLine="632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深入实施公共服务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七优享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工程，切实提升人民群众获得感、幸福感、安全感和认同感。202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年，确保一般公共预算支出三分之二用于民生领域。按照社会政策要兜牢民生底线的要求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聚焦办好十方面民生实事</w:t>
      </w:r>
      <w:r>
        <w:rPr>
          <w:rFonts w:hint="eastAsia" w:ascii="Times New Roman" w:hAnsi="Times New Roman"/>
        </w:rPr>
        <w:t>，市</w:t>
      </w:r>
      <w:r>
        <w:rPr>
          <w:rFonts w:ascii="Times New Roman" w:hAnsi="Times New Roman"/>
        </w:rPr>
        <w:t>级财政2025年预算安排资金</w:t>
      </w:r>
      <w:r>
        <w:rPr>
          <w:rFonts w:ascii="Times New Roman" w:hAnsi="Times New Roman"/>
          <w:woUserID w:val="3"/>
        </w:rPr>
        <w:t>14.51</w:t>
      </w:r>
      <w:r>
        <w:rPr>
          <w:rFonts w:ascii="Times New Roman" w:hAnsi="Times New Roman"/>
        </w:rPr>
        <w:t>亿元。</w:t>
      </w:r>
    </w:p>
    <w:p w14:paraId="18E887DA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（三十）推进基本公共服务一体化均等化。</w:t>
      </w:r>
      <w:r>
        <w:rPr>
          <w:rFonts w:hint="eastAsia" w:ascii="Times New Roman" w:hAnsi="Times New Roman"/>
        </w:rPr>
        <w:t>建立同人口变化相协调的公共服务配置机制，健全常住地提供基本公共服务机制，扎实推进基层公共服务长效运行机制改革。探索公建民营、场地换服务、政府购买服务、慈善公益参与等运营模式，构建多元供给格局，推动公共服务高效运行。大力支持促进中心镇辐射带动乡村发展。</w:t>
      </w:r>
      <w:r>
        <w:rPr>
          <w:rFonts w:hint="eastAsia" w:ascii="Times New Roman" w:hAnsi="Times New Roman" w:eastAsia="楷体_GB2312"/>
        </w:rPr>
        <w:t>（责任单位：</w:t>
      </w:r>
      <w:r>
        <w:rPr>
          <w:rFonts w:ascii="Times New Roman" w:hAnsi="Times New Roman" w:eastAsia="楷体_GB2312"/>
        </w:rPr>
        <w:t>市府办</w:t>
      </w:r>
      <w:r>
        <w:rPr>
          <w:rFonts w:hint="eastAsia" w:ascii="Times New Roman" w:hAnsi="Times New Roman" w:eastAsia="楷体_GB2312"/>
        </w:rPr>
        <w:t>、市发改局、市教育局、市民政局、市人力社保局、</w:t>
      </w:r>
      <w:r>
        <w:rPr>
          <w:rFonts w:hint="eastAsia" w:ascii="Times New Roman" w:hAnsi="Times New Roman" w:eastAsia="楷体_GB2312"/>
          <w:lang w:val="en-US" w:eastAsia="zh-CN"/>
        </w:rPr>
        <w:t>市卫生健康局、</w:t>
      </w:r>
      <w:r>
        <w:rPr>
          <w:rFonts w:hint="eastAsia" w:ascii="Times New Roman" w:hAnsi="Times New Roman" w:eastAsia="楷体_GB2312"/>
        </w:rPr>
        <w:t>市医疗保障局）</w:t>
      </w:r>
    </w:p>
    <w:p w14:paraId="55DC59A1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（三十一）支持推进</w:t>
      </w:r>
      <w:r>
        <w:rPr>
          <w:rFonts w:hint="eastAsia" w:ascii="Times New Roman" w:hAnsi="Times New Roman" w:eastAsia="楷体_GB2312"/>
          <w:b w:val="0"/>
          <w:bCs w:val="0"/>
          <w:lang w:eastAsia="zh-CN" w:bidi="ar"/>
        </w:rPr>
        <w:t>“</w:t>
      </w:r>
      <w:r>
        <w:rPr>
          <w:rFonts w:hint="default" w:ascii="Times New Roman" w:hAnsi="Times New Roman" w:eastAsia="楷体_GB2312"/>
          <w:b w:val="0"/>
          <w:bCs w:val="0"/>
          <w:lang w:bidi="ar"/>
        </w:rPr>
        <w:t>劳有所得</w:t>
      </w:r>
      <w:r>
        <w:rPr>
          <w:rFonts w:hint="eastAsia" w:ascii="Times New Roman" w:hAnsi="Times New Roman" w:eastAsia="楷体_GB2312"/>
          <w:b w:val="0"/>
          <w:bCs w:val="0"/>
          <w:lang w:eastAsia="zh-CN" w:bidi="ar"/>
        </w:rPr>
        <w:t>”</w:t>
      </w:r>
      <w:r>
        <w:rPr>
          <w:rFonts w:hint="default" w:ascii="Times New Roman" w:hAnsi="Times New Roman" w:eastAsia="楷体_GB2312"/>
          <w:b w:val="0"/>
          <w:bCs w:val="0"/>
          <w:lang w:bidi="ar"/>
        </w:rPr>
        <w:t>。</w:t>
      </w:r>
      <w:r>
        <w:rPr>
          <w:rFonts w:hint="eastAsia" w:ascii="Times New Roman" w:hAnsi="Times New Roman"/>
        </w:rPr>
        <w:t>持续推进技能型社会建设，着力构建完善技能培育、技能创富、技能生态三大体系。延续实施阶段性降低失业保险费率政策，力争为全市企业减负</w:t>
      </w:r>
      <w:r>
        <w:rPr>
          <w:rFonts w:ascii="Times New Roman" w:hAnsi="Times New Roman"/>
        </w:rPr>
        <w:t>0.8</w:t>
      </w:r>
      <w:r>
        <w:rPr>
          <w:rFonts w:hint="eastAsia" w:ascii="Times New Roman" w:hAnsi="Times New Roman"/>
        </w:rPr>
        <w:t>亿元。规范平台企业经营行为，加强新就业形态就业人员职业伤害保障。</w:t>
      </w:r>
      <w:r>
        <w:rPr>
          <w:rFonts w:hint="eastAsia" w:ascii="Times New Roman" w:hAnsi="Times New Roman" w:eastAsia="楷体_GB2312"/>
        </w:rPr>
        <w:t>（责任单位：市人力社保局、市财政局、市税务局）</w:t>
      </w:r>
    </w:p>
    <w:p w14:paraId="5B5897CA">
      <w:pPr>
        <w:spacing w:after="0" w:line="560" w:lineRule="exact"/>
        <w:ind w:firstLine="632" w:firstLineChars="200"/>
        <w:textAlignment w:val="baseline"/>
        <w:rPr>
          <w:rFonts w:eastAsia="楷体_GB2312"/>
          <w:szCs w:val="32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（三十二）支持推进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“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幼有善育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”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。</w:t>
      </w:r>
      <w:r>
        <w:rPr>
          <w:rFonts w:ascii="Times New Roman" w:cs="Times New Roman"/>
          <w:szCs w:val="32"/>
          <w:lang w:bidi="ar"/>
        </w:rPr>
        <w:t>持续完善生育支持政策和激励机制，优化普惠托育服务体系，健全普惠托育政策保障机制，争取列入省第二批普惠托育基本公共服务试点。扩大普惠托育服务供给和覆盖范围，推动每千名0-3岁婴幼儿拥有的托位数达4.5个。深化</w:t>
      </w:r>
      <w:r>
        <w:rPr>
          <w:rFonts w:hint="eastAsia" w:cs="Times New Roman"/>
          <w:szCs w:val="32"/>
          <w:lang w:eastAsia="zh-CN" w:bidi="ar"/>
        </w:rPr>
        <w:t>“</w:t>
      </w:r>
      <w:r>
        <w:rPr>
          <w:rFonts w:ascii="Times New Roman" w:cs="Times New Roman"/>
          <w:szCs w:val="32"/>
          <w:lang w:bidi="ar"/>
        </w:rPr>
        <w:t>医育融合</w:t>
      </w:r>
      <w:r>
        <w:rPr>
          <w:rFonts w:hint="eastAsia" w:cs="Times New Roman"/>
          <w:szCs w:val="32"/>
          <w:lang w:eastAsia="zh-CN" w:bidi="ar"/>
        </w:rPr>
        <w:t>”</w:t>
      </w:r>
      <w:r>
        <w:rPr>
          <w:rFonts w:ascii="Times New Roman" w:cs="Times New Roman"/>
          <w:szCs w:val="32"/>
          <w:lang w:bidi="ar"/>
        </w:rPr>
        <w:t>改革，促进普惠托育服务高质量发展。</w:t>
      </w:r>
      <w:r>
        <w:rPr>
          <w:rFonts w:hint="eastAsia" w:eastAsia="楷体_GB2312"/>
          <w:szCs w:val="32"/>
          <w:lang w:bidi="ar"/>
        </w:rPr>
        <w:t>（责任单位：</w:t>
      </w:r>
      <w:r>
        <w:rPr>
          <w:rFonts w:hint="eastAsia" w:eastAsia="楷体_GB2312"/>
          <w:szCs w:val="32"/>
        </w:rPr>
        <w:t>市卫生健康局</w:t>
      </w:r>
      <w:r>
        <w:rPr>
          <w:rFonts w:hint="eastAsia" w:eastAsia="楷体_GB2312"/>
          <w:szCs w:val="32"/>
          <w:lang w:bidi="ar"/>
        </w:rPr>
        <w:t>、市发改局、</w:t>
      </w:r>
      <w:r>
        <w:rPr>
          <w:rFonts w:hint="eastAsia" w:eastAsia="楷体_GB2312"/>
          <w:szCs w:val="32"/>
        </w:rPr>
        <w:t>市</w:t>
      </w:r>
      <w:r>
        <w:rPr>
          <w:rFonts w:hint="eastAsia" w:eastAsia="楷体_GB2312"/>
          <w:szCs w:val="32"/>
          <w:lang w:bidi="ar"/>
        </w:rPr>
        <w:t>教育局、市财政局）</w:t>
      </w:r>
    </w:p>
    <w:p w14:paraId="3B9FD2F7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（三十三）支持推进</w:t>
      </w:r>
      <w:r>
        <w:rPr>
          <w:rFonts w:hint="eastAsia" w:ascii="Times New Roman" w:hAnsi="Times New Roman" w:eastAsia="楷体_GB2312"/>
          <w:b w:val="0"/>
          <w:bCs w:val="0"/>
          <w:lang w:eastAsia="zh-CN" w:bidi="ar"/>
        </w:rPr>
        <w:t>“</w:t>
      </w:r>
      <w:r>
        <w:rPr>
          <w:rFonts w:hint="default" w:ascii="Times New Roman" w:hAnsi="Times New Roman" w:eastAsia="楷体_GB2312"/>
          <w:b w:val="0"/>
          <w:bCs w:val="0"/>
          <w:lang w:bidi="ar"/>
        </w:rPr>
        <w:t>学有优教</w:t>
      </w:r>
      <w:r>
        <w:rPr>
          <w:rFonts w:hint="eastAsia" w:ascii="Times New Roman" w:hAnsi="Times New Roman" w:eastAsia="楷体_GB2312"/>
          <w:b w:val="0"/>
          <w:bCs w:val="0"/>
          <w:lang w:eastAsia="zh-CN" w:bidi="ar"/>
        </w:rPr>
        <w:t>”</w:t>
      </w:r>
      <w:r>
        <w:rPr>
          <w:rFonts w:hint="default" w:ascii="Times New Roman" w:hAnsi="Times New Roman" w:eastAsia="楷体_GB2312"/>
          <w:b w:val="0"/>
          <w:bCs w:val="0"/>
          <w:lang w:bidi="ar"/>
        </w:rPr>
        <w:t>。</w:t>
      </w:r>
      <w:r>
        <w:rPr>
          <w:rFonts w:ascii="Times New Roman" w:hAnsi="Times New Roman"/>
          <w:lang w:bidi="ar"/>
        </w:rPr>
        <w:t>切实保障各类教育资源有效供给，进一步优化校网布局，</w:t>
      </w:r>
      <w:r>
        <w:rPr>
          <w:rFonts w:ascii="Times New Roman" w:hAnsi="Times New Roman"/>
          <w:lang w:bidi="ar"/>
          <w:woUserID w:val="1"/>
        </w:rPr>
        <w:t>持续推进薄弱幼儿园整改提升和优质园创评两大行动，</w:t>
      </w:r>
      <w:r>
        <w:rPr>
          <w:rFonts w:ascii="Times New Roman" w:hAnsi="Times New Roman"/>
          <w:lang w:bidi="ar"/>
        </w:rPr>
        <w:t>全面推进义务教育集团化（教共体）办学改革，</w:t>
      </w:r>
      <w:r>
        <w:rPr>
          <w:rFonts w:hint="eastAsia" w:ascii="Times New Roman" w:hAnsi="Times New Roman"/>
          <w:lang w:val="en-US" w:eastAsia="zh-CN" w:bidi="ar"/>
        </w:rPr>
        <w:t>做好普通高中学位扩容，</w:t>
      </w:r>
      <w:r>
        <w:rPr>
          <w:rFonts w:hint="default" w:ascii="Times New Roman" w:hAnsi="Times New Roman"/>
          <w:lang w:eastAsia="zh-CN" w:bidi="ar"/>
          <w:woUserID w:val="1"/>
        </w:rPr>
        <w:t>提升职业教育长学制人才培养规模，</w:t>
      </w:r>
      <w:r>
        <w:rPr>
          <w:rFonts w:ascii="Times New Roman" w:hAnsi="Times New Roman"/>
          <w:lang w:bidi="ar"/>
        </w:rPr>
        <w:t>扩大优质教育资源惠及面；保障随迁子女平等入学权益，2025年随迁子女就读公办比例达90%以上。</w:t>
      </w:r>
      <w:r>
        <w:rPr>
          <w:rFonts w:hint="eastAsia" w:ascii="Times New Roman" w:hAnsi="Times New Roman"/>
          <w:lang w:bidi="ar"/>
        </w:rPr>
        <w:t>（</w:t>
      </w:r>
      <w:r>
        <w:rPr>
          <w:rFonts w:hint="eastAsia" w:ascii="Times New Roman" w:hAnsi="Times New Roman" w:eastAsia="楷体_GB2312"/>
        </w:rPr>
        <w:t>责任单位：市教育局）</w:t>
      </w:r>
    </w:p>
    <w:p w14:paraId="674A5BEA">
      <w:pPr>
        <w:spacing w:after="0" w:line="560" w:lineRule="exact"/>
        <w:ind w:firstLine="632" w:firstLineChars="200"/>
        <w:textAlignment w:val="baseline"/>
        <w:rPr>
          <w:rFonts w:eastAsia="楷体_GB2312"/>
          <w:szCs w:val="32"/>
          <w:lang w:bidi="ar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（三十四）支持推进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“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住有宜居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”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。</w:t>
      </w:r>
      <w:r>
        <w:rPr>
          <w:rFonts w:hint="eastAsia"/>
          <w:szCs w:val="32"/>
          <w:lang w:bidi="ar"/>
        </w:rPr>
        <w:t>坚持严控增量、优化存量、提高质量，加快构建房地产发展新模式。落实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安全、舒适、绿色、智慧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的好房子建设理念，更好支持改善性住房需求。落实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白名单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项目扩围增效，满足企业合理融资需求，推动房地产在建项目融资、建设和交付。积极构建以配租型保障性住房为主体的住房保障体系，</w:t>
      </w:r>
      <w:r>
        <w:rPr>
          <w:rFonts w:hint="eastAsia"/>
          <w:szCs w:val="32"/>
        </w:rPr>
        <w:t>通过新建、转化等方式增加保障性住房供应，</w:t>
      </w:r>
      <w:r>
        <w:rPr>
          <w:rFonts w:hint="eastAsia"/>
          <w:szCs w:val="32"/>
          <w:lang w:bidi="ar"/>
        </w:rPr>
        <w:t>筹集保障性租赁住房</w:t>
      </w:r>
      <w:r>
        <w:rPr>
          <w:szCs w:val="32"/>
          <w:lang w:bidi="ar"/>
        </w:rPr>
        <w:t>3710</w:t>
      </w:r>
      <w:r>
        <w:rPr>
          <w:rFonts w:hint="eastAsia"/>
          <w:szCs w:val="32"/>
          <w:lang w:bidi="ar"/>
        </w:rPr>
        <w:t>套（间），</w:t>
      </w:r>
      <w:r>
        <w:rPr>
          <w:rFonts w:hint="default"/>
          <w:szCs w:val="32"/>
          <w:lang w:bidi="ar"/>
          <w:woUserID w:val="14"/>
        </w:rPr>
        <w:t>助力解决我市新市民、青年人住房困难</w:t>
      </w:r>
      <w:r>
        <w:rPr>
          <w:rFonts w:hint="eastAsia"/>
          <w:szCs w:val="32"/>
          <w:lang w:bidi="ar"/>
        </w:rPr>
        <w:t>需求。积极稳步推进城中村改造，计划实施城中村改造</w:t>
      </w:r>
      <w:r>
        <w:rPr>
          <w:rFonts w:hint="eastAsia"/>
          <w:szCs w:val="32"/>
          <w:lang w:val="en-US" w:eastAsia="zh-CN" w:bidi="ar"/>
        </w:rPr>
        <w:t>718</w:t>
      </w:r>
      <w:r>
        <w:rPr>
          <w:rFonts w:hint="eastAsia"/>
          <w:szCs w:val="32"/>
          <w:lang w:bidi="ar"/>
        </w:rPr>
        <w:t>户。持续推进</w:t>
      </w:r>
      <w:r>
        <w:rPr>
          <w:szCs w:val="32"/>
          <w:lang w:bidi="ar"/>
        </w:rPr>
        <w:t>20</w:t>
      </w:r>
      <w:r>
        <w:rPr>
          <w:rFonts w:hint="eastAsia"/>
          <w:szCs w:val="32"/>
          <w:lang w:bidi="ar"/>
        </w:rPr>
        <w:t>年以上住宅老旧电梯更新、推动</w:t>
      </w:r>
      <w:r>
        <w:rPr>
          <w:szCs w:val="32"/>
          <w:lang w:bidi="ar"/>
        </w:rPr>
        <w:t>15-20</w:t>
      </w:r>
      <w:r>
        <w:rPr>
          <w:rFonts w:hint="eastAsia"/>
          <w:szCs w:val="32"/>
          <w:lang w:bidi="ar"/>
        </w:rPr>
        <w:t>年住宅老旧电梯能换尽换，全年完成住宅老旧电梯更新改造</w:t>
      </w:r>
      <w:r>
        <w:rPr>
          <w:szCs w:val="32"/>
          <w:lang w:bidi="ar"/>
        </w:rPr>
        <w:t>130</w:t>
      </w:r>
      <w:r>
        <w:rPr>
          <w:rFonts w:hint="eastAsia"/>
          <w:szCs w:val="32"/>
          <w:lang w:bidi="ar"/>
        </w:rPr>
        <w:t>台。</w:t>
      </w:r>
      <w:r>
        <w:rPr>
          <w:rFonts w:hint="eastAsia" w:eastAsia="楷体_GB2312"/>
          <w:szCs w:val="32"/>
          <w:lang w:bidi="ar"/>
        </w:rPr>
        <w:t>（责任单位：</w:t>
      </w:r>
      <w:r>
        <w:rPr>
          <w:rFonts w:hint="eastAsia" w:eastAsia="楷体_GB2312"/>
          <w:szCs w:val="32"/>
        </w:rPr>
        <w:t>市住建局、市自然资源和规划局、市财政局、</w:t>
      </w:r>
      <w:r>
        <w:rPr>
          <w:rFonts w:hint="eastAsia" w:eastAsia="楷体_GB2312"/>
        </w:rPr>
        <w:t>人行乐清营管部、国家金融监督管理总局乐清监管支局</w:t>
      </w:r>
      <w:r>
        <w:rPr>
          <w:rFonts w:hint="eastAsia" w:eastAsia="楷体_GB2312"/>
          <w:szCs w:val="32"/>
          <w:lang w:bidi="ar"/>
        </w:rPr>
        <w:t>）</w:t>
      </w:r>
    </w:p>
    <w:p w14:paraId="35842E87">
      <w:pPr>
        <w:spacing w:after="0" w:line="560" w:lineRule="exact"/>
        <w:ind w:firstLine="632" w:firstLineChars="200"/>
        <w:rPr>
          <w:szCs w:val="32"/>
          <w:lang w:bidi="ar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（三十五）支持推进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“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老有康养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”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。</w:t>
      </w:r>
      <w:r>
        <w:rPr>
          <w:rFonts w:hint="eastAsia"/>
          <w:szCs w:val="32"/>
          <w:lang w:bidi="ar"/>
        </w:rPr>
        <w:t>全面落实困难老年人养老服务补贴、养老护理补贴和基本生活补助制度。全面实行养老服务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爱心卡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制度，构建</w:t>
      </w:r>
      <w:r>
        <w:rPr>
          <w:rFonts w:hint="eastAsia"/>
          <w:szCs w:val="32"/>
          <w:lang w:eastAsia="zh-CN" w:bidi="ar"/>
        </w:rPr>
        <w:t>“</w:t>
      </w:r>
      <w:r>
        <w:rPr>
          <w:rFonts w:hint="eastAsia"/>
          <w:szCs w:val="32"/>
          <w:lang w:bidi="ar"/>
        </w:rPr>
        <w:t>服务前审批、服务中监管、服务后评价</w:t>
      </w:r>
      <w:r>
        <w:rPr>
          <w:rFonts w:hint="eastAsia"/>
          <w:szCs w:val="32"/>
          <w:lang w:eastAsia="zh-CN" w:bidi="ar"/>
        </w:rPr>
        <w:t>”</w:t>
      </w:r>
      <w:r>
        <w:rPr>
          <w:rFonts w:hint="eastAsia"/>
          <w:szCs w:val="32"/>
          <w:lang w:bidi="ar"/>
        </w:rPr>
        <w:t>的全流程闭环监管模式。每万老年人口拥有养老机构认知障碍床位数达</w:t>
      </w:r>
      <w:r>
        <w:rPr>
          <w:szCs w:val="32"/>
          <w:lang w:bidi="ar"/>
        </w:rPr>
        <w:t>20</w:t>
      </w:r>
      <w:r>
        <w:rPr>
          <w:rFonts w:hint="eastAsia"/>
          <w:szCs w:val="32"/>
          <w:lang w:bidi="ar"/>
        </w:rPr>
        <w:t>张。乡镇（街道）康养联合体覆盖率达</w:t>
      </w:r>
      <w:r>
        <w:rPr>
          <w:szCs w:val="32"/>
          <w:lang w:bidi="ar"/>
        </w:rPr>
        <w:t>100%</w:t>
      </w:r>
      <w:r>
        <w:rPr>
          <w:rFonts w:hint="eastAsia"/>
          <w:szCs w:val="32"/>
          <w:lang w:bidi="ar"/>
        </w:rPr>
        <w:t>，并持续提升服务质效。</w:t>
      </w:r>
      <w:r>
        <w:rPr>
          <w:rFonts w:hint="default" w:ascii="Times New Roman" w:eastAsia="楷体_GB2312"/>
          <w:szCs w:val="32"/>
          <w:lang w:bidi="ar"/>
        </w:rPr>
        <w:t>（责任单位：市民政局）</w:t>
      </w:r>
    </w:p>
    <w:p w14:paraId="1404961F">
      <w:pPr>
        <w:spacing w:after="0" w:line="560" w:lineRule="exact"/>
        <w:ind w:firstLine="632" w:firstLineChars="200"/>
        <w:rPr>
          <w:rFonts w:eastAsia="楷体_GB2312"/>
          <w:szCs w:val="32"/>
        </w:rPr>
      </w:pP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（三十六）支持推进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“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病有良医</w:t>
      </w:r>
      <w:r>
        <w:rPr>
          <w:rFonts w:hint="eastAsia" w:eastAsia="楷体_GB2312"/>
          <w:b w:val="0"/>
          <w:bCs w:val="0"/>
          <w:szCs w:val="32"/>
          <w:lang w:eastAsia="zh-CN" w:bidi="ar"/>
        </w:rPr>
        <w:t>”</w:t>
      </w:r>
      <w:r>
        <w:rPr>
          <w:rFonts w:hint="default" w:ascii="Times New Roman" w:hAnsi="Times New Roman" w:eastAsia="楷体_GB2312"/>
          <w:b w:val="0"/>
          <w:bCs w:val="0"/>
          <w:szCs w:val="32"/>
          <w:lang w:bidi="ar"/>
        </w:rPr>
        <w:t>。</w:t>
      </w:r>
      <w:r>
        <w:rPr>
          <w:rFonts w:ascii="Times New Roman" w:cs="Times New Roman"/>
          <w:szCs w:val="32"/>
          <w:lang w:bidi="ar"/>
        </w:rPr>
        <w:t>提档县级强院建设，加速市人民医院三甲创建，推进公立医院差异化发展和医疗信息化建设，争创省级临床重点专科1个、温州市级临床重点专科2个以上。深入推进</w:t>
      </w:r>
      <w:r>
        <w:rPr>
          <w:rFonts w:hint="eastAsia" w:cs="Times New Roman"/>
          <w:szCs w:val="32"/>
          <w:lang w:eastAsia="zh-CN" w:bidi="ar"/>
        </w:rPr>
        <w:t>“</w:t>
      </w:r>
      <w:r>
        <w:rPr>
          <w:rFonts w:ascii="Times New Roman" w:cs="Times New Roman"/>
          <w:szCs w:val="32"/>
          <w:lang w:bidi="ar"/>
        </w:rPr>
        <w:t>优质服务基层行</w:t>
      </w:r>
      <w:r>
        <w:rPr>
          <w:rFonts w:hint="eastAsia" w:cs="Times New Roman"/>
          <w:szCs w:val="32"/>
          <w:lang w:eastAsia="zh-CN" w:bidi="ar"/>
        </w:rPr>
        <w:t>”</w:t>
      </w:r>
      <w:r>
        <w:rPr>
          <w:rFonts w:ascii="Times New Roman" w:cs="Times New Roman"/>
          <w:szCs w:val="32"/>
          <w:lang w:bidi="ar"/>
        </w:rPr>
        <w:t>，建成柳市、翁垟、湖雾等3家卫生院迁扩建工程，启动雁荡、芙蓉康养综合体项目。深化医疗体制机制改革，推进</w:t>
      </w:r>
      <w:r>
        <w:rPr>
          <w:rFonts w:hint="eastAsia" w:cs="Times New Roman"/>
          <w:szCs w:val="32"/>
          <w:lang w:eastAsia="zh-CN" w:bidi="ar"/>
        </w:rPr>
        <w:t>“</w:t>
      </w:r>
      <w:r>
        <w:rPr>
          <w:rFonts w:ascii="Times New Roman" w:cs="Times New Roman"/>
          <w:szCs w:val="32"/>
          <w:lang w:bidi="ar"/>
        </w:rPr>
        <w:t>中西医结合</w:t>
      </w:r>
      <w:r>
        <w:rPr>
          <w:rFonts w:hint="eastAsia" w:cs="Times New Roman"/>
          <w:szCs w:val="32"/>
          <w:lang w:eastAsia="zh-CN" w:bidi="ar"/>
        </w:rPr>
        <w:t>”“</w:t>
      </w:r>
      <w:r>
        <w:rPr>
          <w:rFonts w:ascii="Times New Roman" w:cs="Times New Roman"/>
          <w:szCs w:val="32"/>
          <w:lang w:bidi="ar"/>
        </w:rPr>
        <w:t>医防融合</w:t>
      </w:r>
      <w:r>
        <w:rPr>
          <w:rFonts w:hint="eastAsia" w:cs="Times New Roman"/>
          <w:szCs w:val="32"/>
          <w:lang w:eastAsia="zh-CN" w:bidi="ar"/>
        </w:rPr>
        <w:t>”</w:t>
      </w:r>
      <w:r>
        <w:rPr>
          <w:rFonts w:ascii="Times New Roman" w:cs="Times New Roman"/>
          <w:szCs w:val="32"/>
          <w:lang w:bidi="ar"/>
        </w:rPr>
        <w:t>，健全分级诊疗制度，县域就诊率和基层就诊率维持在90%、76%以上。</w:t>
      </w:r>
      <w:r>
        <w:rPr>
          <w:rFonts w:hint="eastAsia"/>
          <w:szCs w:val="32"/>
        </w:rPr>
        <w:t>深化医保支付方式改革、医药服务供给侧联动协同，引导全市长期住院医疗资源供给扩容下沉。</w:t>
      </w:r>
      <w:r>
        <w:rPr>
          <w:rFonts w:hint="eastAsia" w:eastAsia="楷体_GB2312"/>
          <w:szCs w:val="32"/>
        </w:rPr>
        <w:t>（责任单位：市卫生健康局、市医疗保障局）</w:t>
      </w:r>
    </w:p>
    <w:p w14:paraId="5B8680FF">
      <w:pPr>
        <w:pStyle w:val="32"/>
        <w:spacing w:after="0" w:line="560" w:lineRule="exact"/>
        <w:ind w:firstLine="634"/>
        <w:textAlignment w:val="baseline"/>
        <w:rPr>
          <w:rFonts w:ascii="Times New Roman" w:hAnsi="Times New Roman" w:eastAsia="楷体_GB2312"/>
        </w:rPr>
      </w:pPr>
      <w:r>
        <w:rPr>
          <w:rFonts w:hint="default" w:ascii="Times New Roman" w:hAnsi="Times New Roman" w:eastAsia="楷体_GB2312"/>
          <w:b w:val="0"/>
          <w:bCs w:val="0"/>
          <w:lang w:bidi="ar"/>
        </w:rPr>
        <w:t>（三十七）支持推进</w:t>
      </w:r>
      <w:r>
        <w:rPr>
          <w:rFonts w:hint="eastAsia" w:ascii="Times New Roman" w:hAnsi="Times New Roman" w:eastAsia="楷体_GB2312"/>
          <w:b w:val="0"/>
          <w:bCs w:val="0"/>
          <w:lang w:eastAsia="zh-CN" w:bidi="ar"/>
        </w:rPr>
        <w:t>“</w:t>
      </w:r>
      <w:r>
        <w:rPr>
          <w:rFonts w:hint="default" w:ascii="Times New Roman" w:hAnsi="Times New Roman" w:eastAsia="楷体_GB2312"/>
          <w:b w:val="0"/>
          <w:bCs w:val="0"/>
          <w:lang w:bidi="ar"/>
        </w:rPr>
        <w:t>弱有众扶</w:t>
      </w:r>
      <w:r>
        <w:rPr>
          <w:rFonts w:hint="eastAsia" w:ascii="Times New Roman" w:hAnsi="Times New Roman" w:eastAsia="楷体_GB2312"/>
          <w:b w:val="0"/>
          <w:bCs w:val="0"/>
          <w:lang w:eastAsia="zh-CN" w:bidi="ar"/>
        </w:rPr>
        <w:t>”</w:t>
      </w:r>
      <w:r>
        <w:rPr>
          <w:rFonts w:hint="default" w:ascii="Times New Roman" w:hAnsi="Times New Roman" w:eastAsia="楷体_GB2312"/>
          <w:b w:val="0"/>
          <w:bCs w:val="0"/>
          <w:lang w:bidi="ar"/>
        </w:rPr>
        <w:t>。</w:t>
      </w:r>
      <w:r>
        <w:rPr>
          <w:rFonts w:hint="eastAsia" w:ascii="Times New Roman" w:hAnsi="Times New Roman"/>
          <w:lang w:bidi="ar"/>
        </w:rPr>
        <w:t>困难群众医疗费用综合保障率达</w:t>
      </w:r>
      <w:r>
        <w:rPr>
          <w:rFonts w:ascii="Times New Roman" w:hAnsi="Times New Roman"/>
          <w:lang w:bidi="ar"/>
        </w:rPr>
        <w:t>85%</w:t>
      </w:r>
      <w:r>
        <w:rPr>
          <w:rFonts w:hint="eastAsia" w:ascii="Times New Roman" w:hAnsi="Times New Roman"/>
          <w:lang w:bidi="ar"/>
        </w:rPr>
        <w:t>，</w:t>
      </w:r>
      <w:r>
        <w:rPr>
          <w:rFonts w:hint="eastAsia" w:ascii="Times New Roman" w:hAnsi="Times New Roman"/>
          <w:lang w:eastAsia="zh-CN" w:bidi="ar"/>
        </w:rPr>
        <w:t>“</w:t>
      </w:r>
      <w:r>
        <w:rPr>
          <w:rFonts w:hint="eastAsia" w:ascii="Times New Roman" w:hAnsi="Times New Roman"/>
          <w:lang w:bidi="ar"/>
        </w:rPr>
        <w:t>群帮惠</w:t>
      </w:r>
      <w:r>
        <w:rPr>
          <w:rFonts w:hint="eastAsia" w:ascii="Times New Roman" w:hAnsi="Times New Roman"/>
          <w:lang w:eastAsia="zh-CN" w:bidi="ar"/>
        </w:rPr>
        <w:t>”</w:t>
      </w:r>
      <w:r>
        <w:rPr>
          <w:rFonts w:hint="eastAsia" w:ascii="Times New Roman" w:hAnsi="Times New Roman"/>
          <w:lang w:bidi="ar"/>
        </w:rPr>
        <w:t>困难群体帮扶达</w:t>
      </w:r>
      <w:r>
        <w:rPr>
          <w:rFonts w:ascii="Times New Roman" w:hAnsi="Times New Roman"/>
          <w:lang w:bidi="ar"/>
        </w:rPr>
        <w:t>1500</w:t>
      </w:r>
      <w:r>
        <w:rPr>
          <w:rFonts w:hint="eastAsia" w:ascii="Times New Roman" w:hAnsi="Times New Roman"/>
          <w:lang w:bidi="ar"/>
        </w:rPr>
        <w:t>人次。</w:t>
      </w:r>
      <w:r>
        <w:rPr>
          <w:rFonts w:hint="eastAsia" w:ascii="Times New Roman" w:hAnsi="Times New Roman"/>
        </w:rPr>
        <w:t>落实残疾人就业岗位补贴等扶持政策，新增残疾人就业180人。排摸孤独症儿童需求底数，完善康复救助全流程，康复救助孤独症儿童260人</w:t>
      </w:r>
      <w:r>
        <w:rPr>
          <w:rFonts w:hint="eastAsia" w:ascii="Times New Roman" w:hAnsi="Times New Roman"/>
          <w:lang w:bidi="ar"/>
        </w:rPr>
        <w:t>，康复辅具适配1500人</w:t>
      </w:r>
      <w:r>
        <w:rPr>
          <w:rFonts w:hint="eastAsia" w:ascii="Times New Roman" w:hAnsi="Times New Roman"/>
        </w:rPr>
        <w:t>。加强低收入人口动态监测，做好分层分类社会救助。持续开展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1619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接续奋斗计划，新增帮扶中职（技师）教育低收入家庭青少年</w:t>
      </w:r>
      <w:r>
        <w:rPr>
          <w:rFonts w:ascii="Times New Roman" w:hAnsi="Times New Roman"/>
        </w:rPr>
        <w:t>70</w:t>
      </w:r>
      <w:r>
        <w:rPr>
          <w:rFonts w:hint="eastAsia" w:ascii="Times New Roman" w:hAnsi="Times New Roman"/>
        </w:rPr>
        <w:t>名。培育壮大慈善主体力量，新增慈善组织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家，慈善信托规模扩大</w:t>
      </w:r>
      <w:r>
        <w:rPr>
          <w:rFonts w:ascii="Times New Roman" w:hAnsi="Times New Roman"/>
        </w:rPr>
        <w:t>300</w:t>
      </w:r>
      <w:r>
        <w:rPr>
          <w:rFonts w:hint="eastAsia" w:ascii="Times New Roman" w:hAnsi="Times New Roman"/>
        </w:rPr>
        <w:t>万元。</w:t>
      </w:r>
      <w:r>
        <w:rPr>
          <w:rFonts w:ascii="Times New Roman" w:hAnsi="Times New Roman" w:eastAsia="楷体_GB2312"/>
        </w:rPr>
        <w:t>（责任单位：</w:t>
      </w:r>
      <w:r>
        <w:rPr>
          <w:rFonts w:hint="eastAsia" w:ascii="Times New Roman" w:hAnsi="Times New Roman" w:eastAsia="楷体_GB2312"/>
        </w:rPr>
        <w:t>市</w:t>
      </w:r>
      <w:r>
        <w:rPr>
          <w:rFonts w:ascii="Times New Roman" w:hAnsi="Times New Roman" w:eastAsia="楷体_GB2312"/>
        </w:rPr>
        <w:t>民政局</w:t>
      </w:r>
      <w:r>
        <w:rPr>
          <w:rFonts w:hint="eastAsia" w:ascii="Times New Roman" w:hAnsi="Times New Roman" w:eastAsia="楷体_GB2312"/>
        </w:rPr>
        <w:t>、市残联、市医疗保障局、市总工会</w:t>
      </w:r>
      <w:r>
        <w:rPr>
          <w:rFonts w:ascii="Times New Roman" w:hAnsi="Times New Roman" w:eastAsia="楷体_GB2312"/>
        </w:rPr>
        <w:t>）</w:t>
      </w:r>
    </w:p>
    <w:p w14:paraId="6C5B8693">
      <w:pPr>
        <w:pStyle w:val="32"/>
        <w:spacing w:after="0" w:line="560" w:lineRule="exact"/>
        <w:ind w:firstLine="632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/>
        </w:rPr>
        <w:t>上述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个领域政策市级财政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年预算安排资金除交叉重叠部分外，支持总额为</w:t>
      </w:r>
      <w:r>
        <w:rPr>
          <w:rFonts w:hint="default" w:ascii="Times New Roman" w:hAnsi="Times New Roman"/>
          <w:woUserID w:val="3"/>
        </w:rPr>
        <w:t>49.25</w:t>
      </w:r>
      <w:r>
        <w:rPr>
          <w:rFonts w:hint="eastAsia" w:ascii="Times New Roman" w:hAnsi="Times New Roman"/>
        </w:rPr>
        <w:t>亿元。各领域政策市级牵头单位要根据文件要求，会同财政金融、自然资源、能源、人才等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张要素保障清单牵头单位，抓紧制定配套政策文件，按照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政策</w:t>
      </w:r>
      <w:r>
        <w:rPr>
          <w:rFonts w:hint="eastAsia" w:ascii="Times New Roman" w:hAnsi="Times New Roman"/>
          <w:lang w:eastAsia="zh-CN"/>
        </w:rPr>
        <w:t>－</w:t>
      </w:r>
      <w:r>
        <w:rPr>
          <w:rFonts w:hint="eastAsia" w:ascii="Times New Roman" w:hAnsi="Times New Roman"/>
        </w:rPr>
        <w:t>模板</w:t>
      </w:r>
      <w:r>
        <w:rPr>
          <w:rFonts w:hint="eastAsia" w:ascii="Times New Roman" w:hAnsi="Times New Roman"/>
          <w:lang w:eastAsia="zh-CN"/>
        </w:rPr>
        <w:t>－</w:t>
      </w:r>
      <w:r>
        <w:rPr>
          <w:rFonts w:hint="eastAsia" w:ascii="Times New Roman" w:hAnsi="Times New Roman"/>
        </w:rPr>
        <w:t>案例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的要求梳理政策贯通路径，打通政策落地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最后一公里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。及时做好政策的宣传解读、责任分解和落地实施。市发改局要牵头做好宏观政策取向一致性评估工作，推动新出台政策同向发力、形成合力，推动存量与宏观政策取向不一致、有收缩性、负能量政策有序废改。各</w:t>
      </w:r>
      <w:r>
        <w:rPr>
          <w:rFonts w:ascii="Times New Roman" w:hAnsi="Times New Roman"/>
        </w:rPr>
        <w:t>部门要</w:t>
      </w:r>
      <w:r>
        <w:rPr>
          <w:rFonts w:hint="eastAsia" w:ascii="Times New Roman" w:hAnsi="Times New Roman"/>
        </w:rPr>
        <w:t>推动政策精准滴灌、直达快享，确保基层有感、群众获益、企业得利。</w:t>
      </w:r>
    </w:p>
    <w:p w14:paraId="3206314B">
      <w:pPr>
        <w:pStyle w:val="32"/>
        <w:spacing w:after="0" w:line="560" w:lineRule="exact"/>
        <w:ind w:firstLine="63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</w:rPr>
        <w:t>本文件明确的各项政策除标明具体实施期限外，均为</w:t>
      </w:r>
      <w:r>
        <w:rPr>
          <w:rFonts w:ascii="Times New Roman" w:hAnsi="Times New Roman"/>
        </w:rPr>
        <w:t>2025</w:t>
      </w:r>
      <w:r>
        <w:rPr>
          <w:rFonts w:hint="eastAsia" w:ascii="Times New Roman" w:hAnsi="Times New Roman"/>
        </w:rPr>
        <w:t>年全年实施有效。国家和省级制定实施相关政策措施的，遵照执行。</w:t>
      </w:r>
    </w:p>
    <w:sectPr>
      <w:footerReference r:id="rId8" w:type="first"/>
      <w:footerReference r:id="rId6" w:type="default"/>
      <w:headerReference r:id="rId5" w:type="even"/>
      <w:footerReference r:id="rId7" w:type="even"/>
      <w:pgSz w:w="11906" w:h="16838"/>
      <w:pgMar w:top="1701" w:right="1474" w:bottom="1701" w:left="1474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CFA3F">
    <w:pPr>
      <w:pStyle w:val="19"/>
      <w:spacing w:line="400" w:lineRule="exact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209E848">
                          <w:pPr>
                            <w:pStyle w:val="19"/>
                            <w:wordWrap w:val="0"/>
                            <w:spacing w:line="400" w:lineRule="exact"/>
                            <w:jc w:val="right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GmCS9MAAAAFAQAADwAAAAAA&#10;AAABACAAAAAiAAAAZHJzL2Rvd25yZXYueG1sUEsBAhQAFAAAAAgAh07iQGJDhwTfAQAAvAMAAA4A&#10;AAAAAAAAAQAgAAAAIgEAAGRycy9lMm9Eb2MueG1sUEsFBgAAAAAGAAYAWQEAAHM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209E848">
                    <w:pPr>
                      <w:pStyle w:val="19"/>
                      <w:wordWrap w:val="0"/>
                      <w:spacing w:line="400" w:lineRule="exact"/>
                      <w:jc w:val="right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6D557">
    <w:pPr>
      <w:pStyle w:val="19"/>
      <w:spacing w:line="400" w:lineRule="exact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5D07303">
                          <w:pPr>
                            <w:pStyle w:val="19"/>
                            <w:wordWrap w:val="0"/>
                            <w:spacing w:line="400" w:lineRule="exact"/>
                            <w:ind w:right="320" w:rightChars="100"/>
                            <w:jc w:val="right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4"/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GmCS9MAAAAFAQAADwAAAAAA&#10;AAABACAAAAAiAAAAZHJzL2Rvd25yZXYueG1sUEsBAhQAFAAAAAgAh07iQINw4sXfAQAAvAMAAA4A&#10;AAAAAAAAAQAgAAAAIgEAAGRycy9lMm9Eb2MueG1sUEsFBgAAAAAGAAYAWQEAAHM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5D07303">
                    <w:pPr>
                      <w:pStyle w:val="19"/>
                      <w:wordWrap w:val="0"/>
                      <w:spacing w:line="400" w:lineRule="exact"/>
                      <w:ind w:right="320" w:rightChars="100"/>
                      <w:jc w:val="right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4"/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C208A">
    <w:pPr>
      <w:pStyle w:val="19"/>
      <w:spacing w:line="200" w:lineRule="exac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0EF7B92">
                          <w:pPr>
                            <w:pStyle w:val="19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42PuM+EBAAC8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0EF7B92">
                    <w:pPr>
                      <w:pStyle w:val="19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EB4C9">
    <w:pPr>
      <w:rPr>
        <w:szCs w:val="32"/>
      </w:rPr>
    </w:pPr>
  </w:p>
  <w:p w14:paraId="10FE6178">
    <w:pPr>
      <w:rPr>
        <w:szCs w:val="32"/>
      </w:rPr>
    </w:pPr>
  </w:p>
  <w:p w14:paraId="09D3A3ED">
    <w:pPr>
      <w:pStyle w:val="20"/>
      <w:rPr>
        <w:sz w:val="38"/>
        <w:szCs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8EAA1"/>
    <w:multiLevelType w:val="multilevel"/>
    <w:tmpl w:val="A318EAA1"/>
    <w:lvl w:ilvl="0" w:tentative="0">
      <w:start w:val="1"/>
      <w:numFmt w:val="decimal"/>
      <w:pStyle w:val="7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8"/>
      <w:lvlText w:val="%1.%2"/>
      <w:lvlJc w:val="left"/>
      <w:pPr>
        <w:ind w:left="578" w:hanging="17"/>
      </w:pPr>
      <w:rPr>
        <w:rFonts w:hint="eastAsia"/>
      </w:rPr>
    </w:lvl>
    <w:lvl w:ilvl="2" w:tentative="0">
      <w:start w:val="1"/>
      <w:numFmt w:val="decimal"/>
      <w:pStyle w:val="9"/>
      <w:lvlText w:val="%1.%2.%3"/>
      <w:lvlJc w:val="left"/>
      <w:pPr>
        <w:ind w:left="29" w:hanging="29"/>
      </w:pPr>
      <w:rPr>
        <w:rFonts w:hint="eastAsia"/>
      </w:rPr>
    </w:lvl>
    <w:lvl w:ilvl="3" w:tentative="0">
      <w:start w:val="1"/>
      <w:numFmt w:val="decimal"/>
      <w:pStyle w:val="10"/>
      <w:lvlText w:val="%1.%2.%3.%4"/>
      <w:lvlJc w:val="left"/>
      <w:pPr>
        <w:ind w:left="390" w:hanging="390"/>
      </w:pPr>
      <w:rPr>
        <w:rFonts w:hint="eastAsia"/>
        <w:lang w:val="en-US"/>
      </w:rPr>
    </w:lvl>
    <w:lvl w:ilvl="4" w:tentative="0">
      <w:start w:val="1"/>
      <w:numFmt w:val="decimal"/>
      <w:pStyle w:val="11"/>
      <w:lvlText w:val="%1.%2.%3.%4.%5"/>
      <w:lvlJc w:val="left"/>
      <w:pPr>
        <w:ind w:left="520" w:hanging="520"/>
      </w:pPr>
      <w:rPr>
        <w:rFonts w:hint="eastAsia"/>
        <w:b/>
        <w:sz w:val="28"/>
      </w:rPr>
    </w:lvl>
    <w:lvl w:ilvl="5" w:tentative="0">
      <w:start w:val="1"/>
      <w:numFmt w:val="decimal"/>
      <w:pStyle w:val="12"/>
      <w:lvlText w:val="%1.%2.%3.%4.%5.%6"/>
      <w:lvlJc w:val="left"/>
      <w:pPr>
        <w:ind w:left="650" w:firstLine="431"/>
      </w:pPr>
      <w:rPr>
        <w:rFonts w:hint="eastAsia"/>
      </w:rPr>
    </w:lvl>
    <w:lvl w:ilvl="6" w:tentative="0">
      <w:start w:val="1"/>
      <w:numFmt w:val="decimal"/>
      <w:pStyle w:val="13"/>
      <w:lvlText w:val="%1.%2.%3.%4.%5.%6.%7"/>
      <w:lvlJc w:val="left"/>
      <w:pPr>
        <w:ind w:left="780" w:firstLine="431"/>
      </w:pPr>
      <w:rPr>
        <w:rFonts w:hint="eastAsia"/>
      </w:rPr>
    </w:lvl>
    <w:lvl w:ilvl="7" w:tentative="0">
      <w:start w:val="1"/>
      <w:numFmt w:val="decimal"/>
      <w:pStyle w:val="14"/>
      <w:lvlText w:val="%1.%2.%3.%4.%5.%6.%7.%8"/>
      <w:lvlJc w:val="left"/>
      <w:pPr>
        <w:ind w:left="910" w:firstLine="431"/>
      </w:pPr>
      <w:rPr>
        <w:rFonts w:hint="eastAsia"/>
      </w:rPr>
    </w:lvl>
    <w:lvl w:ilvl="8" w:tentative="0">
      <w:start w:val="1"/>
      <w:numFmt w:val="decimal"/>
      <w:pStyle w:val="15"/>
      <w:lvlText w:val="%1.%2.%3.%4.%5.%6.%7.%8.%9"/>
      <w:lvlJc w:val="left"/>
      <w:pPr>
        <w:ind w:left="1040" w:firstLine="431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pStyle w:val="2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DBkNGE1MzA2MmJjYzdlMDFhMTQwNzU3MjEwYTgifQ=="/>
    <w:docVar w:name="iDocStyle" w:val="2"/>
  </w:docVars>
  <w:rsids>
    <w:rsidRoot w:val="509D5B52"/>
    <w:rsid w:val="000F0E42"/>
    <w:rsid w:val="001342CA"/>
    <w:rsid w:val="00171FAD"/>
    <w:rsid w:val="002F1E87"/>
    <w:rsid w:val="003025E7"/>
    <w:rsid w:val="003A0E93"/>
    <w:rsid w:val="003C183D"/>
    <w:rsid w:val="003E2A29"/>
    <w:rsid w:val="003F4727"/>
    <w:rsid w:val="00434253"/>
    <w:rsid w:val="0046188B"/>
    <w:rsid w:val="004838E2"/>
    <w:rsid w:val="004A1123"/>
    <w:rsid w:val="004E12E1"/>
    <w:rsid w:val="004F114D"/>
    <w:rsid w:val="005C0228"/>
    <w:rsid w:val="00687B14"/>
    <w:rsid w:val="00694AF2"/>
    <w:rsid w:val="007D6B50"/>
    <w:rsid w:val="007E70F2"/>
    <w:rsid w:val="00816B9B"/>
    <w:rsid w:val="0082042A"/>
    <w:rsid w:val="00837794"/>
    <w:rsid w:val="00847939"/>
    <w:rsid w:val="008551AD"/>
    <w:rsid w:val="00874100"/>
    <w:rsid w:val="008A48EC"/>
    <w:rsid w:val="008C4773"/>
    <w:rsid w:val="008E537D"/>
    <w:rsid w:val="00907112"/>
    <w:rsid w:val="009E435B"/>
    <w:rsid w:val="00A24C16"/>
    <w:rsid w:val="00CE433A"/>
    <w:rsid w:val="00D203DA"/>
    <w:rsid w:val="00D85F26"/>
    <w:rsid w:val="00DC612F"/>
    <w:rsid w:val="00EC7328"/>
    <w:rsid w:val="00F3528F"/>
    <w:rsid w:val="00F42E9E"/>
    <w:rsid w:val="00F6578A"/>
    <w:rsid w:val="00FC70C1"/>
    <w:rsid w:val="01E42A57"/>
    <w:rsid w:val="025362DD"/>
    <w:rsid w:val="0281443A"/>
    <w:rsid w:val="028B4239"/>
    <w:rsid w:val="02A757AF"/>
    <w:rsid w:val="0345202B"/>
    <w:rsid w:val="03AF6612"/>
    <w:rsid w:val="03B2495B"/>
    <w:rsid w:val="041C4999"/>
    <w:rsid w:val="0420471B"/>
    <w:rsid w:val="042774DD"/>
    <w:rsid w:val="046B3E3A"/>
    <w:rsid w:val="0484458C"/>
    <w:rsid w:val="04993F99"/>
    <w:rsid w:val="056858EB"/>
    <w:rsid w:val="05F27D2D"/>
    <w:rsid w:val="06835C15"/>
    <w:rsid w:val="06A50054"/>
    <w:rsid w:val="06CF1799"/>
    <w:rsid w:val="079A2388"/>
    <w:rsid w:val="07B94814"/>
    <w:rsid w:val="07C95455"/>
    <w:rsid w:val="07CF0A92"/>
    <w:rsid w:val="07D91E6C"/>
    <w:rsid w:val="081F25E1"/>
    <w:rsid w:val="084C4136"/>
    <w:rsid w:val="08A53B3F"/>
    <w:rsid w:val="08BC49DB"/>
    <w:rsid w:val="08F438BE"/>
    <w:rsid w:val="08F97D45"/>
    <w:rsid w:val="090919F2"/>
    <w:rsid w:val="094B7B50"/>
    <w:rsid w:val="094C6571"/>
    <w:rsid w:val="09E81BCC"/>
    <w:rsid w:val="0A7A5D9A"/>
    <w:rsid w:val="0A943317"/>
    <w:rsid w:val="0AB446C3"/>
    <w:rsid w:val="0B863BF7"/>
    <w:rsid w:val="0B891E29"/>
    <w:rsid w:val="0BD5688A"/>
    <w:rsid w:val="0BDC787B"/>
    <w:rsid w:val="0C116539"/>
    <w:rsid w:val="0C6765E6"/>
    <w:rsid w:val="0C832815"/>
    <w:rsid w:val="0C9C373F"/>
    <w:rsid w:val="0CCE7DBE"/>
    <w:rsid w:val="0CF2535A"/>
    <w:rsid w:val="0D7A2165"/>
    <w:rsid w:val="0DB3678A"/>
    <w:rsid w:val="0EBC06F1"/>
    <w:rsid w:val="0EBF74D7"/>
    <w:rsid w:val="0EC02925"/>
    <w:rsid w:val="0F6E6A60"/>
    <w:rsid w:val="0FCC1A50"/>
    <w:rsid w:val="10CD0DE8"/>
    <w:rsid w:val="10E55348"/>
    <w:rsid w:val="10F20DDB"/>
    <w:rsid w:val="11137CB7"/>
    <w:rsid w:val="117F1CC3"/>
    <w:rsid w:val="11D1624A"/>
    <w:rsid w:val="11D413CD"/>
    <w:rsid w:val="12132537"/>
    <w:rsid w:val="123639F0"/>
    <w:rsid w:val="12864AD5"/>
    <w:rsid w:val="12F41476"/>
    <w:rsid w:val="132248F2"/>
    <w:rsid w:val="133C760D"/>
    <w:rsid w:val="138B20E9"/>
    <w:rsid w:val="14013F61"/>
    <w:rsid w:val="14A33D77"/>
    <w:rsid w:val="15357481"/>
    <w:rsid w:val="156947AC"/>
    <w:rsid w:val="15DC4AEB"/>
    <w:rsid w:val="16AA063C"/>
    <w:rsid w:val="16B37836"/>
    <w:rsid w:val="171B042A"/>
    <w:rsid w:val="17753588"/>
    <w:rsid w:val="17D734D0"/>
    <w:rsid w:val="17E54B40"/>
    <w:rsid w:val="17EFF514"/>
    <w:rsid w:val="18656F5C"/>
    <w:rsid w:val="18F25DD8"/>
    <w:rsid w:val="19C11524"/>
    <w:rsid w:val="19DA3CF6"/>
    <w:rsid w:val="1A0503BE"/>
    <w:rsid w:val="1A746473"/>
    <w:rsid w:val="1B3006DC"/>
    <w:rsid w:val="1B30823E"/>
    <w:rsid w:val="1B9F5849"/>
    <w:rsid w:val="1BBF8712"/>
    <w:rsid w:val="1BCA26F3"/>
    <w:rsid w:val="1BE761ED"/>
    <w:rsid w:val="1C7C6848"/>
    <w:rsid w:val="1C9551F4"/>
    <w:rsid w:val="1CCB1E4B"/>
    <w:rsid w:val="1CDA2465"/>
    <w:rsid w:val="1CDA4664"/>
    <w:rsid w:val="1D3A6AD3"/>
    <w:rsid w:val="1D561A2F"/>
    <w:rsid w:val="1D7F2BF3"/>
    <w:rsid w:val="1DD7174F"/>
    <w:rsid w:val="1DDF1AB4"/>
    <w:rsid w:val="1DED3227"/>
    <w:rsid w:val="1DFC3787"/>
    <w:rsid w:val="1E013B28"/>
    <w:rsid w:val="1E3FE508"/>
    <w:rsid w:val="1E5F7CE3"/>
    <w:rsid w:val="1EBB07D3"/>
    <w:rsid w:val="1F21724F"/>
    <w:rsid w:val="1F3C63CC"/>
    <w:rsid w:val="1F5008F0"/>
    <w:rsid w:val="1F58210A"/>
    <w:rsid w:val="1F6FEEFD"/>
    <w:rsid w:val="1F7FD6C1"/>
    <w:rsid w:val="1FEA526B"/>
    <w:rsid w:val="1FEA9321"/>
    <w:rsid w:val="20402406"/>
    <w:rsid w:val="206372DA"/>
    <w:rsid w:val="20B53C45"/>
    <w:rsid w:val="20F6671B"/>
    <w:rsid w:val="21667CED"/>
    <w:rsid w:val="218433B5"/>
    <w:rsid w:val="21D81213"/>
    <w:rsid w:val="2277BD76"/>
    <w:rsid w:val="22D636B5"/>
    <w:rsid w:val="22D8243B"/>
    <w:rsid w:val="23181443"/>
    <w:rsid w:val="2378543C"/>
    <w:rsid w:val="23E11F56"/>
    <w:rsid w:val="24001E9D"/>
    <w:rsid w:val="241A3671"/>
    <w:rsid w:val="24265D9C"/>
    <w:rsid w:val="24634140"/>
    <w:rsid w:val="24726959"/>
    <w:rsid w:val="249B9DEA"/>
    <w:rsid w:val="24BE0D1C"/>
    <w:rsid w:val="24EB7884"/>
    <w:rsid w:val="2552184A"/>
    <w:rsid w:val="25F695FA"/>
    <w:rsid w:val="26800C37"/>
    <w:rsid w:val="26FEDDD7"/>
    <w:rsid w:val="274676FC"/>
    <w:rsid w:val="27D02947"/>
    <w:rsid w:val="27D91EEF"/>
    <w:rsid w:val="27F37C56"/>
    <w:rsid w:val="281F2B7C"/>
    <w:rsid w:val="28467E95"/>
    <w:rsid w:val="28CBE962"/>
    <w:rsid w:val="28D22706"/>
    <w:rsid w:val="293D6BFB"/>
    <w:rsid w:val="294C3C6F"/>
    <w:rsid w:val="29C966E1"/>
    <w:rsid w:val="2A8D1D2B"/>
    <w:rsid w:val="2BEF9BC4"/>
    <w:rsid w:val="2BF91CA4"/>
    <w:rsid w:val="2C08574B"/>
    <w:rsid w:val="2C645E65"/>
    <w:rsid w:val="2C7FE3FE"/>
    <w:rsid w:val="2DB349DD"/>
    <w:rsid w:val="2DCC08AF"/>
    <w:rsid w:val="2DCF1834"/>
    <w:rsid w:val="2E2B48EC"/>
    <w:rsid w:val="2E8F63EE"/>
    <w:rsid w:val="2EE623B6"/>
    <w:rsid w:val="2F043E2F"/>
    <w:rsid w:val="2F7E45CC"/>
    <w:rsid w:val="2F7F2A6B"/>
    <w:rsid w:val="2F93C62F"/>
    <w:rsid w:val="2FCD12F9"/>
    <w:rsid w:val="2FDA1F57"/>
    <w:rsid w:val="2FDD75D5"/>
    <w:rsid w:val="2FDFC6B2"/>
    <w:rsid w:val="2FFEE4BE"/>
    <w:rsid w:val="301334D8"/>
    <w:rsid w:val="303C73AF"/>
    <w:rsid w:val="309767C4"/>
    <w:rsid w:val="313F7767"/>
    <w:rsid w:val="32127335"/>
    <w:rsid w:val="322A04E7"/>
    <w:rsid w:val="325F4087"/>
    <w:rsid w:val="32843DF1"/>
    <w:rsid w:val="328B7EF8"/>
    <w:rsid w:val="32DE17F8"/>
    <w:rsid w:val="32F1383A"/>
    <w:rsid w:val="330947B2"/>
    <w:rsid w:val="33903029"/>
    <w:rsid w:val="339729B4"/>
    <w:rsid w:val="33F00AC4"/>
    <w:rsid w:val="33F12F6C"/>
    <w:rsid w:val="33F9F04E"/>
    <w:rsid w:val="33FA4C57"/>
    <w:rsid w:val="342F3E2C"/>
    <w:rsid w:val="352104F7"/>
    <w:rsid w:val="353C1589"/>
    <w:rsid w:val="356A4AAD"/>
    <w:rsid w:val="35B67DAE"/>
    <w:rsid w:val="35B8583F"/>
    <w:rsid w:val="35FEBF06"/>
    <w:rsid w:val="35FFBD9A"/>
    <w:rsid w:val="36291668"/>
    <w:rsid w:val="363939AE"/>
    <w:rsid w:val="3644034C"/>
    <w:rsid w:val="364B9684"/>
    <w:rsid w:val="374D44EE"/>
    <w:rsid w:val="37B77B75"/>
    <w:rsid w:val="37BC3FFD"/>
    <w:rsid w:val="37CB37A4"/>
    <w:rsid w:val="37EA3AC0"/>
    <w:rsid w:val="37F64799"/>
    <w:rsid w:val="37F774AD"/>
    <w:rsid w:val="37FF6A75"/>
    <w:rsid w:val="388C01EF"/>
    <w:rsid w:val="38C23EDC"/>
    <w:rsid w:val="38E42B66"/>
    <w:rsid w:val="38F4757D"/>
    <w:rsid w:val="390D2408"/>
    <w:rsid w:val="39C07375"/>
    <w:rsid w:val="3A7F4B06"/>
    <w:rsid w:val="3AB55CFA"/>
    <w:rsid w:val="3B013DDA"/>
    <w:rsid w:val="3B1F4B11"/>
    <w:rsid w:val="3B564B69"/>
    <w:rsid w:val="3B5FA56C"/>
    <w:rsid w:val="3BEDCF1A"/>
    <w:rsid w:val="3BEF5FF4"/>
    <w:rsid w:val="3BF66C71"/>
    <w:rsid w:val="3BFEB1C1"/>
    <w:rsid w:val="3C3270C0"/>
    <w:rsid w:val="3C3F466B"/>
    <w:rsid w:val="3C520284"/>
    <w:rsid w:val="3C743CBC"/>
    <w:rsid w:val="3C881C2C"/>
    <w:rsid w:val="3D11176E"/>
    <w:rsid w:val="3D1F7760"/>
    <w:rsid w:val="3D540AB3"/>
    <w:rsid w:val="3D7F9C55"/>
    <w:rsid w:val="3DB8304E"/>
    <w:rsid w:val="3DC10E17"/>
    <w:rsid w:val="3DEF4E1C"/>
    <w:rsid w:val="3DFA2BBE"/>
    <w:rsid w:val="3E7B2E16"/>
    <w:rsid w:val="3EBEB79F"/>
    <w:rsid w:val="3F1D4131"/>
    <w:rsid w:val="3F2435A5"/>
    <w:rsid w:val="3F2D56A8"/>
    <w:rsid w:val="3F552DA6"/>
    <w:rsid w:val="3F579E2F"/>
    <w:rsid w:val="3F5AEDF8"/>
    <w:rsid w:val="3F67C875"/>
    <w:rsid w:val="3F6F584D"/>
    <w:rsid w:val="3FB402DE"/>
    <w:rsid w:val="3FBB8DC7"/>
    <w:rsid w:val="3FBFFD4F"/>
    <w:rsid w:val="3FDB2646"/>
    <w:rsid w:val="3FE9D491"/>
    <w:rsid w:val="3FEFF810"/>
    <w:rsid w:val="3FF51690"/>
    <w:rsid w:val="401436CA"/>
    <w:rsid w:val="404F0AC6"/>
    <w:rsid w:val="40556226"/>
    <w:rsid w:val="405C0524"/>
    <w:rsid w:val="408D68DD"/>
    <w:rsid w:val="40C06849"/>
    <w:rsid w:val="41101E4C"/>
    <w:rsid w:val="41390A8B"/>
    <w:rsid w:val="415906CD"/>
    <w:rsid w:val="42176DFB"/>
    <w:rsid w:val="42345F07"/>
    <w:rsid w:val="42794B49"/>
    <w:rsid w:val="4283643D"/>
    <w:rsid w:val="435FB0C9"/>
    <w:rsid w:val="43ED34FE"/>
    <w:rsid w:val="44215F39"/>
    <w:rsid w:val="442D73A0"/>
    <w:rsid w:val="44AC00B9"/>
    <w:rsid w:val="44D04DF5"/>
    <w:rsid w:val="451B3219"/>
    <w:rsid w:val="45200D37"/>
    <w:rsid w:val="45375A9E"/>
    <w:rsid w:val="456033DF"/>
    <w:rsid w:val="46633F07"/>
    <w:rsid w:val="466B5895"/>
    <w:rsid w:val="467D5544"/>
    <w:rsid w:val="46A81314"/>
    <w:rsid w:val="46BF8432"/>
    <w:rsid w:val="46D44F7D"/>
    <w:rsid w:val="476F595A"/>
    <w:rsid w:val="479C75F5"/>
    <w:rsid w:val="479DF150"/>
    <w:rsid w:val="47E258D1"/>
    <w:rsid w:val="48A531BC"/>
    <w:rsid w:val="49017D37"/>
    <w:rsid w:val="493EC122"/>
    <w:rsid w:val="49A10D01"/>
    <w:rsid w:val="4A5F0C14"/>
    <w:rsid w:val="4AF5AED8"/>
    <w:rsid w:val="4B0B13AD"/>
    <w:rsid w:val="4B426FD7"/>
    <w:rsid w:val="4B4B5EC8"/>
    <w:rsid w:val="4B77583B"/>
    <w:rsid w:val="4BB89215"/>
    <w:rsid w:val="4BDF1B02"/>
    <w:rsid w:val="4BE52395"/>
    <w:rsid w:val="4C1E0ABA"/>
    <w:rsid w:val="4C7C75DA"/>
    <w:rsid w:val="4CB848EB"/>
    <w:rsid w:val="4CB93F3C"/>
    <w:rsid w:val="4CCD0C8D"/>
    <w:rsid w:val="4CE91BB3"/>
    <w:rsid w:val="4DEB39E3"/>
    <w:rsid w:val="4E1B36E1"/>
    <w:rsid w:val="4E6B4770"/>
    <w:rsid w:val="4E7A3C87"/>
    <w:rsid w:val="4E7E11E3"/>
    <w:rsid w:val="4EA8761A"/>
    <w:rsid w:val="4EC66656"/>
    <w:rsid w:val="4EE42ED1"/>
    <w:rsid w:val="4EFDAD8A"/>
    <w:rsid w:val="4F4B57CA"/>
    <w:rsid w:val="4F7F8A1B"/>
    <w:rsid w:val="4FB6633B"/>
    <w:rsid w:val="4FDF1EE6"/>
    <w:rsid w:val="4FEF558D"/>
    <w:rsid w:val="4FFF6AF3"/>
    <w:rsid w:val="506449AA"/>
    <w:rsid w:val="506D4B6B"/>
    <w:rsid w:val="50714687"/>
    <w:rsid w:val="509D5B52"/>
    <w:rsid w:val="51A61548"/>
    <w:rsid w:val="5245110A"/>
    <w:rsid w:val="52463308"/>
    <w:rsid w:val="52654633"/>
    <w:rsid w:val="52E5798E"/>
    <w:rsid w:val="52FB0F65"/>
    <w:rsid w:val="53373F15"/>
    <w:rsid w:val="534A18B1"/>
    <w:rsid w:val="534A5134"/>
    <w:rsid w:val="53AB3ED4"/>
    <w:rsid w:val="53F6C682"/>
    <w:rsid w:val="5470548E"/>
    <w:rsid w:val="54894104"/>
    <w:rsid w:val="54C804C2"/>
    <w:rsid w:val="553F0D41"/>
    <w:rsid w:val="55AB657D"/>
    <w:rsid w:val="55AC1E39"/>
    <w:rsid w:val="55DFD3F2"/>
    <w:rsid w:val="55F73A99"/>
    <w:rsid w:val="56757125"/>
    <w:rsid w:val="56773FE7"/>
    <w:rsid w:val="56ED52AB"/>
    <w:rsid w:val="57252E86"/>
    <w:rsid w:val="574E82EA"/>
    <w:rsid w:val="57981C4F"/>
    <w:rsid w:val="580F43B6"/>
    <w:rsid w:val="58140590"/>
    <w:rsid w:val="582156F9"/>
    <w:rsid w:val="5822091C"/>
    <w:rsid w:val="58764423"/>
    <w:rsid w:val="58AD748A"/>
    <w:rsid w:val="58D10E50"/>
    <w:rsid w:val="597D1DFB"/>
    <w:rsid w:val="59972C8B"/>
    <w:rsid w:val="5AA9184E"/>
    <w:rsid w:val="5AFE323C"/>
    <w:rsid w:val="5B28215D"/>
    <w:rsid w:val="5B3BF9C2"/>
    <w:rsid w:val="5BAE1BC2"/>
    <w:rsid w:val="5BE74672"/>
    <w:rsid w:val="5C0F3B78"/>
    <w:rsid w:val="5C381F5A"/>
    <w:rsid w:val="5C546007"/>
    <w:rsid w:val="5C813653"/>
    <w:rsid w:val="5C883DDD"/>
    <w:rsid w:val="5CA0453B"/>
    <w:rsid w:val="5CB1580F"/>
    <w:rsid w:val="5CBC02C8"/>
    <w:rsid w:val="5D142BC1"/>
    <w:rsid w:val="5D1B1F1C"/>
    <w:rsid w:val="5D4D2FFB"/>
    <w:rsid w:val="5D6269EC"/>
    <w:rsid w:val="5D901C88"/>
    <w:rsid w:val="5DDFC858"/>
    <w:rsid w:val="5DF50FB6"/>
    <w:rsid w:val="5DFB713F"/>
    <w:rsid w:val="5DFE1318"/>
    <w:rsid w:val="5DFE6D3E"/>
    <w:rsid w:val="5DFF7779"/>
    <w:rsid w:val="5E2A1032"/>
    <w:rsid w:val="5E340A9B"/>
    <w:rsid w:val="5F2F137B"/>
    <w:rsid w:val="5F3F4450"/>
    <w:rsid w:val="5F7A4C92"/>
    <w:rsid w:val="5F956A3B"/>
    <w:rsid w:val="5FBF52AA"/>
    <w:rsid w:val="5FBFB121"/>
    <w:rsid w:val="5FCFCA8A"/>
    <w:rsid w:val="5FE274DC"/>
    <w:rsid w:val="5FEE5164"/>
    <w:rsid w:val="5FFD07DC"/>
    <w:rsid w:val="5FFF978A"/>
    <w:rsid w:val="5FFFC0F7"/>
    <w:rsid w:val="60F0169C"/>
    <w:rsid w:val="60FC1895"/>
    <w:rsid w:val="612123E7"/>
    <w:rsid w:val="617B3ADD"/>
    <w:rsid w:val="617E6E4E"/>
    <w:rsid w:val="61976FAD"/>
    <w:rsid w:val="61B82D0C"/>
    <w:rsid w:val="61D66A13"/>
    <w:rsid w:val="62333529"/>
    <w:rsid w:val="62455D7E"/>
    <w:rsid w:val="62BD348D"/>
    <w:rsid w:val="63311662"/>
    <w:rsid w:val="634D3C76"/>
    <w:rsid w:val="638805D7"/>
    <w:rsid w:val="642E7F61"/>
    <w:rsid w:val="64710555"/>
    <w:rsid w:val="64BA22BA"/>
    <w:rsid w:val="65302858"/>
    <w:rsid w:val="653BD6AE"/>
    <w:rsid w:val="654F682D"/>
    <w:rsid w:val="65630748"/>
    <w:rsid w:val="659D1610"/>
    <w:rsid w:val="65CC09E8"/>
    <w:rsid w:val="65FC0DFF"/>
    <w:rsid w:val="662B3ABD"/>
    <w:rsid w:val="667866DD"/>
    <w:rsid w:val="66F85576"/>
    <w:rsid w:val="66FE4EDD"/>
    <w:rsid w:val="67041B93"/>
    <w:rsid w:val="671B668B"/>
    <w:rsid w:val="67251DD3"/>
    <w:rsid w:val="677A067C"/>
    <w:rsid w:val="67AF7605"/>
    <w:rsid w:val="67FD9FDD"/>
    <w:rsid w:val="680571B7"/>
    <w:rsid w:val="680B32BF"/>
    <w:rsid w:val="6838670D"/>
    <w:rsid w:val="687605C0"/>
    <w:rsid w:val="68AC7356"/>
    <w:rsid w:val="69063830"/>
    <w:rsid w:val="692C2E86"/>
    <w:rsid w:val="698FE834"/>
    <w:rsid w:val="69931E41"/>
    <w:rsid w:val="69BD27FC"/>
    <w:rsid w:val="6A6A63A4"/>
    <w:rsid w:val="6ABB58F6"/>
    <w:rsid w:val="6AE517EE"/>
    <w:rsid w:val="6B226971"/>
    <w:rsid w:val="6B8D4169"/>
    <w:rsid w:val="6BB256BF"/>
    <w:rsid w:val="6BC50058"/>
    <w:rsid w:val="6BF797B5"/>
    <w:rsid w:val="6BFB5F69"/>
    <w:rsid w:val="6BFD5642"/>
    <w:rsid w:val="6BFEB67B"/>
    <w:rsid w:val="6C340216"/>
    <w:rsid w:val="6C7B5A68"/>
    <w:rsid w:val="6DA5DEC0"/>
    <w:rsid w:val="6DD445DF"/>
    <w:rsid w:val="6DD7A6F5"/>
    <w:rsid w:val="6DDFDCEC"/>
    <w:rsid w:val="6DED709E"/>
    <w:rsid w:val="6DF7E2EE"/>
    <w:rsid w:val="6DFE4D81"/>
    <w:rsid w:val="6DFE730D"/>
    <w:rsid w:val="6E34575E"/>
    <w:rsid w:val="6EBD5486"/>
    <w:rsid w:val="6ED02738"/>
    <w:rsid w:val="6ED373AD"/>
    <w:rsid w:val="6F015DAB"/>
    <w:rsid w:val="6F540E58"/>
    <w:rsid w:val="6F67637A"/>
    <w:rsid w:val="6F6D789B"/>
    <w:rsid w:val="6F6F51F2"/>
    <w:rsid w:val="6F6FBF1B"/>
    <w:rsid w:val="6F7D3176"/>
    <w:rsid w:val="6FBBCAD5"/>
    <w:rsid w:val="6FDEA60D"/>
    <w:rsid w:val="6FEB0F80"/>
    <w:rsid w:val="6FF7122C"/>
    <w:rsid w:val="6FFF4FCF"/>
    <w:rsid w:val="6FFF5CCE"/>
    <w:rsid w:val="6FFFC216"/>
    <w:rsid w:val="70073847"/>
    <w:rsid w:val="702D1E9B"/>
    <w:rsid w:val="70910BBD"/>
    <w:rsid w:val="70F7B666"/>
    <w:rsid w:val="714C6B88"/>
    <w:rsid w:val="714E16F1"/>
    <w:rsid w:val="727BFF49"/>
    <w:rsid w:val="72BE454D"/>
    <w:rsid w:val="72DB748A"/>
    <w:rsid w:val="72DFB760"/>
    <w:rsid w:val="72FF1EC0"/>
    <w:rsid w:val="736175D9"/>
    <w:rsid w:val="7373474A"/>
    <w:rsid w:val="737CB41B"/>
    <w:rsid w:val="73B76E62"/>
    <w:rsid w:val="73B97095"/>
    <w:rsid w:val="73E70B37"/>
    <w:rsid w:val="73F23645"/>
    <w:rsid w:val="73F533B8"/>
    <w:rsid w:val="73FE3714"/>
    <w:rsid w:val="73FF3813"/>
    <w:rsid w:val="73FFDBA7"/>
    <w:rsid w:val="743C27BF"/>
    <w:rsid w:val="74621009"/>
    <w:rsid w:val="74852806"/>
    <w:rsid w:val="74976504"/>
    <w:rsid w:val="74B81533"/>
    <w:rsid w:val="74F95ADA"/>
    <w:rsid w:val="75385B3F"/>
    <w:rsid w:val="755560F3"/>
    <w:rsid w:val="7597E3B7"/>
    <w:rsid w:val="7630584C"/>
    <w:rsid w:val="763273F7"/>
    <w:rsid w:val="763D0D23"/>
    <w:rsid w:val="764EB5A6"/>
    <w:rsid w:val="76980DEE"/>
    <w:rsid w:val="76C52B9B"/>
    <w:rsid w:val="76D05224"/>
    <w:rsid w:val="773C532B"/>
    <w:rsid w:val="77491518"/>
    <w:rsid w:val="774E6D8A"/>
    <w:rsid w:val="776F1B7B"/>
    <w:rsid w:val="777A694C"/>
    <w:rsid w:val="777BF622"/>
    <w:rsid w:val="777F16D1"/>
    <w:rsid w:val="777F67D8"/>
    <w:rsid w:val="77D590D8"/>
    <w:rsid w:val="77E37D1D"/>
    <w:rsid w:val="77E3CE73"/>
    <w:rsid w:val="77EB9253"/>
    <w:rsid w:val="77F77773"/>
    <w:rsid w:val="77FD912F"/>
    <w:rsid w:val="7809406E"/>
    <w:rsid w:val="782E54A8"/>
    <w:rsid w:val="783930A9"/>
    <w:rsid w:val="78FD1EB6"/>
    <w:rsid w:val="78FFCC85"/>
    <w:rsid w:val="79345466"/>
    <w:rsid w:val="795F1311"/>
    <w:rsid w:val="796A5940"/>
    <w:rsid w:val="79A559B4"/>
    <w:rsid w:val="79B35301"/>
    <w:rsid w:val="79FBF415"/>
    <w:rsid w:val="79FFBD46"/>
    <w:rsid w:val="7A4E3431"/>
    <w:rsid w:val="7A5B2CCA"/>
    <w:rsid w:val="7AAECC94"/>
    <w:rsid w:val="7AD60415"/>
    <w:rsid w:val="7B0A53EC"/>
    <w:rsid w:val="7B374EC5"/>
    <w:rsid w:val="7B7B43A6"/>
    <w:rsid w:val="7BB6F9F8"/>
    <w:rsid w:val="7BF32B3A"/>
    <w:rsid w:val="7BF40514"/>
    <w:rsid w:val="7BF5706B"/>
    <w:rsid w:val="7BFE4D1C"/>
    <w:rsid w:val="7C4B2424"/>
    <w:rsid w:val="7C5936B5"/>
    <w:rsid w:val="7C676684"/>
    <w:rsid w:val="7CB3AD2A"/>
    <w:rsid w:val="7CCF5D72"/>
    <w:rsid w:val="7CD76EF8"/>
    <w:rsid w:val="7CF7D2A6"/>
    <w:rsid w:val="7CF86882"/>
    <w:rsid w:val="7CFFBECC"/>
    <w:rsid w:val="7D1FC5EA"/>
    <w:rsid w:val="7D67516A"/>
    <w:rsid w:val="7D7BABCF"/>
    <w:rsid w:val="7D9F8A60"/>
    <w:rsid w:val="7DA6BDEA"/>
    <w:rsid w:val="7DBBBA9C"/>
    <w:rsid w:val="7DBFD17E"/>
    <w:rsid w:val="7DDF628E"/>
    <w:rsid w:val="7DDF864E"/>
    <w:rsid w:val="7DE64E5F"/>
    <w:rsid w:val="7DE6C489"/>
    <w:rsid w:val="7DE79D32"/>
    <w:rsid w:val="7DF24E2F"/>
    <w:rsid w:val="7DF347E7"/>
    <w:rsid w:val="7DF76119"/>
    <w:rsid w:val="7DF849A2"/>
    <w:rsid w:val="7DFE88A7"/>
    <w:rsid w:val="7DFF1A48"/>
    <w:rsid w:val="7E0769F8"/>
    <w:rsid w:val="7E3F8F2C"/>
    <w:rsid w:val="7E5F28E1"/>
    <w:rsid w:val="7E7E21D2"/>
    <w:rsid w:val="7EBF7ADE"/>
    <w:rsid w:val="7EEB07D9"/>
    <w:rsid w:val="7EFB179B"/>
    <w:rsid w:val="7EFFBF9E"/>
    <w:rsid w:val="7F1EC807"/>
    <w:rsid w:val="7F3FE173"/>
    <w:rsid w:val="7F59567B"/>
    <w:rsid w:val="7F6FC89D"/>
    <w:rsid w:val="7F7FB389"/>
    <w:rsid w:val="7F9E6A8C"/>
    <w:rsid w:val="7FAF3981"/>
    <w:rsid w:val="7FBE8EC0"/>
    <w:rsid w:val="7FEF9E52"/>
    <w:rsid w:val="7FF30CD7"/>
    <w:rsid w:val="7FF391ED"/>
    <w:rsid w:val="7FF4EE8F"/>
    <w:rsid w:val="7FF58622"/>
    <w:rsid w:val="7FF631B8"/>
    <w:rsid w:val="7FFA2A64"/>
    <w:rsid w:val="7FFB7A10"/>
    <w:rsid w:val="7FFB912A"/>
    <w:rsid w:val="7FFE6497"/>
    <w:rsid w:val="7FFE77F0"/>
    <w:rsid w:val="896B2AAD"/>
    <w:rsid w:val="8BBC624B"/>
    <w:rsid w:val="8DD633EA"/>
    <w:rsid w:val="96EF4C06"/>
    <w:rsid w:val="9BDF08B0"/>
    <w:rsid w:val="9C6FDF98"/>
    <w:rsid w:val="9EDF4C0D"/>
    <w:rsid w:val="9FBE9B37"/>
    <w:rsid w:val="9FEA6CC1"/>
    <w:rsid w:val="9FEEAAD0"/>
    <w:rsid w:val="9FFF54CA"/>
    <w:rsid w:val="A75F328C"/>
    <w:rsid w:val="A7BC01E6"/>
    <w:rsid w:val="A7FDA5E7"/>
    <w:rsid w:val="A8BE32AC"/>
    <w:rsid w:val="AA7F422C"/>
    <w:rsid w:val="AF2D1A59"/>
    <w:rsid w:val="AF794DD0"/>
    <w:rsid w:val="AFAF152F"/>
    <w:rsid w:val="AFEEFD64"/>
    <w:rsid w:val="AFFC96B9"/>
    <w:rsid w:val="AFFFA30F"/>
    <w:rsid w:val="B0FF1ACE"/>
    <w:rsid w:val="B1AB675D"/>
    <w:rsid w:val="B47D5D0E"/>
    <w:rsid w:val="B4E752CE"/>
    <w:rsid w:val="B5F76073"/>
    <w:rsid w:val="B5FAC089"/>
    <w:rsid w:val="B67D9B33"/>
    <w:rsid w:val="B6FB9FF7"/>
    <w:rsid w:val="B74F5844"/>
    <w:rsid w:val="B79FFD4D"/>
    <w:rsid w:val="B7AF6A7D"/>
    <w:rsid w:val="B7CF5DBB"/>
    <w:rsid w:val="B7DF99A5"/>
    <w:rsid w:val="B7F3F2D8"/>
    <w:rsid w:val="B7F92FC0"/>
    <w:rsid w:val="B7FDE0B6"/>
    <w:rsid w:val="B7FF0390"/>
    <w:rsid w:val="B7FF89A0"/>
    <w:rsid w:val="B8FD0260"/>
    <w:rsid w:val="BA29C328"/>
    <w:rsid w:val="BA8FFDD1"/>
    <w:rsid w:val="BBF47BDC"/>
    <w:rsid w:val="BBF838BE"/>
    <w:rsid w:val="BBFA3013"/>
    <w:rsid w:val="BBFBAEFB"/>
    <w:rsid w:val="BBFE2E0B"/>
    <w:rsid w:val="BCFFDC90"/>
    <w:rsid w:val="BD24FC0E"/>
    <w:rsid w:val="BE1F9456"/>
    <w:rsid w:val="BE7921A0"/>
    <w:rsid w:val="BE80F67A"/>
    <w:rsid w:val="BEAB1C0A"/>
    <w:rsid w:val="BEBF1F22"/>
    <w:rsid w:val="BEF33803"/>
    <w:rsid w:val="BEFFE19E"/>
    <w:rsid w:val="BF099F3F"/>
    <w:rsid w:val="BF2E35D2"/>
    <w:rsid w:val="BF695C49"/>
    <w:rsid w:val="BF6C2B56"/>
    <w:rsid w:val="BFB91524"/>
    <w:rsid w:val="BFBC824E"/>
    <w:rsid w:val="BFC97E42"/>
    <w:rsid w:val="BFE30A82"/>
    <w:rsid w:val="BFEEC54D"/>
    <w:rsid w:val="BFEED39C"/>
    <w:rsid w:val="BFFBD4C9"/>
    <w:rsid w:val="BFFF18CF"/>
    <w:rsid w:val="BFFF4432"/>
    <w:rsid w:val="C87DA311"/>
    <w:rsid w:val="CAFF4E40"/>
    <w:rsid w:val="CBDFFAED"/>
    <w:rsid w:val="CCE37A5E"/>
    <w:rsid w:val="CCFFED3A"/>
    <w:rsid w:val="CD3F8892"/>
    <w:rsid w:val="CDCEFB0A"/>
    <w:rsid w:val="CDF969C2"/>
    <w:rsid w:val="CEF65F71"/>
    <w:rsid w:val="CFDE6D69"/>
    <w:rsid w:val="CFEF596D"/>
    <w:rsid w:val="CFFE64B8"/>
    <w:rsid w:val="D0DF5999"/>
    <w:rsid w:val="D2F95FFE"/>
    <w:rsid w:val="D47F0BC4"/>
    <w:rsid w:val="D78EB822"/>
    <w:rsid w:val="D7D3F134"/>
    <w:rsid w:val="D9FA7C86"/>
    <w:rsid w:val="DB3FFA89"/>
    <w:rsid w:val="DB6F027F"/>
    <w:rsid w:val="DB77F9C1"/>
    <w:rsid w:val="DBFF6F0E"/>
    <w:rsid w:val="DD77F2D0"/>
    <w:rsid w:val="DDDF8ED9"/>
    <w:rsid w:val="DDEB5B36"/>
    <w:rsid w:val="DEBD905C"/>
    <w:rsid w:val="DEBEE741"/>
    <w:rsid w:val="DEBF790D"/>
    <w:rsid w:val="DEDFD315"/>
    <w:rsid w:val="DF5FA971"/>
    <w:rsid w:val="DF6F8D58"/>
    <w:rsid w:val="DF751DB2"/>
    <w:rsid w:val="DFB32DC4"/>
    <w:rsid w:val="DFBC377E"/>
    <w:rsid w:val="DFCAB7DD"/>
    <w:rsid w:val="DFD68DEC"/>
    <w:rsid w:val="DFDEAB01"/>
    <w:rsid w:val="DFDF5862"/>
    <w:rsid w:val="DFEDA4FA"/>
    <w:rsid w:val="DFEF71E7"/>
    <w:rsid w:val="DFF3B417"/>
    <w:rsid w:val="DFF4D27A"/>
    <w:rsid w:val="DFF63AF2"/>
    <w:rsid w:val="DFFDD8DB"/>
    <w:rsid w:val="DFFE765C"/>
    <w:rsid w:val="DFFF5192"/>
    <w:rsid w:val="DFFF5A24"/>
    <w:rsid w:val="DFFF8A43"/>
    <w:rsid w:val="E5FB34E2"/>
    <w:rsid w:val="E67B7B40"/>
    <w:rsid w:val="E7A93087"/>
    <w:rsid w:val="E7B17FCB"/>
    <w:rsid w:val="EA7EFD8C"/>
    <w:rsid w:val="EB76510A"/>
    <w:rsid w:val="EB7F25B7"/>
    <w:rsid w:val="EB7FB5FB"/>
    <w:rsid w:val="EBBEA72D"/>
    <w:rsid w:val="ED7358A5"/>
    <w:rsid w:val="ED7DDF81"/>
    <w:rsid w:val="EDF7A090"/>
    <w:rsid w:val="EF0F09C1"/>
    <w:rsid w:val="EF5FAA7C"/>
    <w:rsid w:val="EFBF2DAE"/>
    <w:rsid w:val="EFBF4D3A"/>
    <w:rsid w:val="EFDFC275"/>
    <w:rsid w:val="EFEBB7B3"/>
    <w:rsid w:val="EFF17481"/>
    <w:rsid w:val="EFFF188C"/>
    <w:rsid w:val="F0F7DC24"/>
    <w:rsid w:val="F267AB1B"/>
    <w:rsid w:val="F2FF7F9B"/>
    <w:rsid w:val="F30E1170"/>
    <w:rsid w:val="F39E196A"/>
    <w:rsid w:val="F3F35E7A"/>
    <w:rsid w:val="F53654A5"/>
    <w:rsid w:val="F5672E6F"/>
    <w:rsid w:val="F63ED82B"/>
    <w:rsid w:val="F66B11FA"/>
    <w:rsid w:val="F67FCF26"/>
    <w:rsid w:val="F6F7BCC9"/>
    <w:rsid w:val="F6FB9C53"/>
    <w:rsid w:val="F6FD27E0"/>
    <w:rsid w:val="F6FEB02F"/>
    <w:rsid w:val="F7375256"/>
    <w:rsid w:val="F75400BE"/>
    <w:rsid w:val="F77B85F4"/>
    <w:rsid w:val="F7CDF93C"/>
    <w:rsid w:val="F7DED910"/>
    <w:rsid w:val="F7EC24B2"/>
    <w:rsid w:val="F7EFA4B1"/>
    <w:rsid w:val="F7F572C7"/>
    <w:rsid w:val="F7FBCA49"/>
    <w:rsid w:val="F7FBE840"/>
    <w:rsid w:val="F7FE2CA3"/>
    <w:rsid w:val="F7FEAE0A"/>
    <w:rsid w:val="F7FF0B9B"/>
    <w:rsid w:val="F7FFD05D"/>
    <w:rsid w:val="F7FFEB6D"/>
    <w:rsid w:val="F87996EF"/>
    <w:rsid w:val="F95BD8CB"/>
    <w:rsid w:val="F97F3CE4"/>
    <w:rsid w:val="F99FCCA9"/>
    <w:rsid w:val="F9E38F17"/>
    <w:rsid w:val="F9F7446D"/>
    <w:rsid w:val="F9FF84A3"/>
    <w:rsid w:val="FA7B1B36"/>
    <w:rsid w:val="FAAEA579"/>
    <w:rsid w:val="FABFF3F5"/>
    <w:rsid w:val="FADA706C"/>
    <w:rsid w:val="FAFF9C7E"/>
    <w:rsid w:val="FB4DBCE2"/>
    <w:rsid w:val="FB5E924D"/>
    <w:rsid w:val="FB67DEF9"/>
    <w:rsid w:val="FB970534"/>
    <w:rsid w:val="FBB336FD"/>
    <w:rsid w:val="FBEE9228"/>
    <w:rsid w:val="FBEF2488"/>
    <w:rsid w:val="FBEF80BB"/>
    <w:rsid w:val="FBF6B237"/>
    <w:rsid w:val="FBFF3FA6"/>
    <w:rsid w:val="FBFF88E0"/>
    <w:rsid w:val="FCFAE0A6"/>
    <w:rsid w:val="FD3FDFD3"/>
    <w:rsid w:val="FD595A69"/>
    <w:rsid w:val="FD5F3C9C"/>
    <w:rsid w:val="FD77A97B"/>
    <w:rsid w:val="FDCAE10A"/>
    <w:rsid w:val="FDEDAE46"/>
    <w:rsid w:val="FDEFC3CC"/>
    <w:rsid w:val="FDFEE4DA"/>
    <w:rsid w:val="FDFF2B33"/>
    <w:rsid w:val="FE7CAA2A"/>
    <w:rsid w:val="FE9AFAC9"/>
    <w:rsid w:val="FEA3BA90"/>
    <w:rsid w:val="FEB9DD24"/>
    <w:rsid w:val="FEDF062E"/>
    <w:rsid w:val="FEFBD81E"/>
    <w:rsid w:val="FEFF2527"/>
    <w:rsid w:val="FF4B39DC"/>
    <w:rsid w:val="FF4D33FB"/>
    <w:rsid w:val="FF4E4483"/>
    <w:rsid w:val="FF5B62B7"/>
    <w:rsid w:val="FF734B7A"/>
    <w:rsid w:val="FF7AF27F"/>
    <w:rsid w:val="FF7FFB9D"/>
    <w:rsid w:val="FF8C320B"/>
    <w:rsid w:val="FFA1014F"/>
    <w:rsid w:val="FFB70BE7"/>
    <w:rsid w:val="FFBFAD35"/>
    <w:rsid w:val="FFCF5055"/>
    <w:rsid w:val="FFD7F2DD"/>
    <w:rsid w:val="FFDB7D48"/>
    <w:rsid w:val="FFDD4599"/>
    <w:rsid w:val="FFDEE2E4"/>
    <w:rsid w:val="FFDF3521"/>
    <w:rsid w:val="FFE6FD17"/>
    <w:rsid w:val="FFEF18CB"/>
    <w:rsid w:val="FFF4DE05"/>
    <w:rsid w:val="FFF76541"/>
    <w:rsid w:val="FFFC9B02"/>
    <w:rsid w:val="FFFDCC8A"/>
    <w:rsid w:val="FFFDE068"/>
    <w:rsid w:val="FFFFC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8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Cs w:val="24"/>
    </w:rPr>
  </w:style>
  <w:style w:type="paragraph" w:styleId="9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 w:eastAsia="宋体"/>
      <w:b/>
      <w:szCs w:val="24"/>
    </w:rPr>
  </w:style>
  <w:style w:type="paragraph" w:styleId="10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  <w:szCs w:val="24"/>
    </w:rPr>
  </w:style>
  <w:style w:type="paragraph" w:styleId="11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Calibri" w:hAnsi="Calibri" w:eastAsia="宋体"/>
      <w:b/>
      <w:sz w:val="28"/>
      <w:szCs w:val="24"/>
    </w:rPr>
  </w:style>
  <w:style w:type="paragraph" w:styleId="12">
    <w:name w:val="heading 6"/>
    <w:basedOn w:val="1"/>
    <w:next w:val="1"/>
    <w:link w:val="27"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after="64" w:line="317" w:lineRule="auto"/>
      <w:ind w:left="0" w:firstLine="562" w:firstLineChars="200"/>
      <w:outlineLvl w:val="5"/>
    </w:pPr>
    <w:rPr>
      <w:b/>
      <w:sz w:val="28"/>
      <w:szCs w:val="24"/>
    </w:rPr>
  </w:style>
  <w:style w:type="paragraph" w:styleId="13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Calibri" w:hAnsi="Calibri" w:eastAsia="宋体"/>
      <w:b/>
      <w:sz w:val="24"/>
      <w:szCs w:val="24"/>
    </w:rPr>
  </w:style>
  <w:style w:type="paragraph" w:styleId="14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  <w:szCs w:val="24"/>
    </w:rPr>
  </w:style>
  <w:style w:type="paragraph" w:styleId="15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20" w:lineRule="atLeast"/>
      <w:ind w:left="0" w:right="0"/>
    </w:pPr>
    <w:rPr>
      <w:rFonts w:ascii="Calibri" w:hAnsi="Calibri" w:eastAsia="宋体" w:cs="sans-serif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rPr>
      <w:rFonts w:ascii="Calibri" w:hAnsi="Calibri" w:eastAsia="宋体"/>
      <w:b/>
      <w:sz w:val="21"/>
      <w:szCs w:val="24"/>
    </w:rPr>
  </w:style>
  <w:style w:type="paragraph" w:styleId="5">
    <w:name w:val="Body Text First Indent"/>
    <w:basedOn w:val="4"/>
    <w:next w:val="6"/>
    <w:qFormat/>
    <w:uiPriority w:val="0"/>
    <w:pPr>
      <w:spacing w:after="120"/>
      <w:ind w:firstLine="420" w:firstLineChars="1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index 6"/>
    <w:basedOn w:val="1"/>
    <w:next w:val="1"/>
    <w:qFormat/>
    <w:uiPriority w:val="0"/>
    <w:pPr>
      <w:ind w:left="2100"/>
    </w:pPr>
    <w:rPr>
      <w:rFonts w:ascii="仿宋_GB2312" w:cs="仿宋_GB2312"/>
      <w:szCs w:val="32"/>
    </w:rPr>
  </w:style>
  <w:style w:type="paragraph" w:styleId="18">
    <w:name w:val="Balloon Text"/>
    <w:basedOn w:val="1"/>
    <w:link w:val="37"/>
    <w:qFormat/>
    <w:uiPriority w:val="0"/>
    <w:pPr>
      <w:spacing w:line="240" w:lineRule="auto"/>
    </w:pPr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20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line number"/>
    <w:basedOn w:val="23"/>
    <w:qFormat/>
    <w:uiPriority w:val="0"/>
  </w:style>
  <w:style w:type="character" w:customStyle="1" w:styleId="27">
    <w:name w:val="标题 6 字符"/>
    <w:link w:val="12"/>
    <w:qFormat/>
    <w:uiPriority w:val="0"/>
    <w:rPr>
      <w:rFonts w:ascii="Times New Roman" w:hAnsi="Times New Roman" w:eastAsia="仿宋_GB2312" w:cs="Times New Roman"/>
      <w:b/>
      <w:sz w:val="28"/>
    </w:rPr>
  </w:style>
  <w:style w:type="paragraph" w:customStyle="1" w:styleId="28">
    <w:name w:val="居中"/>
    <w:basedOn w:val="1"/>
    <w:qFormat/>
    <w:uiPriority w:val="0"/>
    <w:pPr>
      <w:numPr>
        <w:ilvl w:val="0"/>
        <w:numId w:val="2"/>
      </w:numPr>
    </w:pPr>
  </w:style>
  <w:style w:type="character" w:customStyle="1" w:styleId="29">
    <w:name w:val="16"/>
    <w:basedOn w:val="23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</w:rPr>
  </w:style>
  <w:style w:type="character" w:customStyle="1" w:styleId="30">
    <w:name w:val="17"/>
    <w:basedOn w:val="23"/>
    <w:qFormat/>
    <w:uiPriority w:val="0"/>
    <w:rPr>
      <w:rFonts w:hint="eastAsia" w:ascii="宋体" w:hAnsi="宋体" w:eastAsia="宋体" w:cs="宋体"/>
      <w:color w:val="FF0000"/>
      <w:sz w:val="28"/>
      <w:szCs w:val="28"/>
    </w:rPr>
  </w:style>
  <w:style w:type="character" w:customStyle="1" w:styleId="31">
    <w:name w:val="10"/>
    <w:basedOn w:val="23"/>
    <w:qFormat/>
    <w:uiPriority w:val="0"/>
    <w:rPr>
      <w:rFonts w:hint="default" w:ascii="Times New Roman" w:hAnsi="Times New Roman" w:eastAsia="宋体" w:cs="Times New Roman"/>
    </w:rPr>
  </w:style>
  <w:style w:type="paragraph" w:customStyle="1" w:styleId="32">
    <w:name w:val="正文文本缩进11"/>
    <w:basedOn w:val="1"/>
    <w:qFormat/>
    <w:uiPriority w:val="0"/>
    <w:pPr>
      <w:spacing w:line="620" w:lineRule="exact"/>
      <w:ind w:firstLine="640" w:firstLineChars="200"/>
    </w:pPr>
    <w:rPr>
      <w:rFonts w:ascii="Calibri" w:hAnsi="Calibri"/>
      <w:szCs w:val="32"/>
    </w:rPr>
  </w:style>
  <w:style w:type="character" w:customStyle="1" w:styleId="33">
    <w:name w:val="15"/>
    <w:basedOn w:val="23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</w:rPr>
  </w:style>
  <w:style w:type="character" w:customStyle="1" w:styleId="34">
    <w:name w:val="span"/>
    <w:basedOn w:val="23"/>
    <w:qFormat/>
    <w:uiPriority w:val="0"/>
    <w:rPr>
      <w:rFonts w:ascii="Times New Roman" w:hAnsi="Times New Roman" w:eastAsia="宋体" w:cs="Times New Roman"/>
    </w:rPr>
  </w:style>
  <w:style w:type="paragraph" w:customStyle="1" w:styleId="35">
    <w:name w:val="BodyText1I"/>
    <w:basedOn w:val="36"/>
    <w:qFormat/>
    <w:uiPriority w:val="0"/>
    <w:pPr>
      <w:ind w:firstLine="420" w:firstLineChars="100"/>
    </w:pPr>
  </w:style>
  <w:style w:type="paragraph" w:customStyle="1" w:styleId="36">
    <w:name w:val="BodyText"/>
    <w:basedOn w:val="1"/>
    <w:next w:val="35"/>
    <w:qFormat/>
    <w:uiPriority w:val="0"/>
    <w:pPr>
      <w:spacing w:after="120"/>
      <w:textAlignment w:val="baseline"/>
    </w:pPr>
    <w:rPr>
      <w:szCs w:val="22"/>
    </w:rPr>
  </w:style>
  <w:style w:type="character" w:customStyle="1" w:styleId="37">
    <w:name w:val="批注框文本 字符"/>
    <w:basedOn w:val="23"/>
    <w:link w:val="18"/>
    <w:qFormat/>
    <w:uiPriority w:val="0"/>
    <w:rPr>
      <w:rFonts w:eastAsia="仿宋_GB2312"/>
      <w:kern w:val="2"/>
      <w:sz w:val="18"/>
      <w:szCs w:val="18"/>
    </w:rPr>
  </w:style>
  <w:style w:type="paragraph" w:customStyle="1" w:styleId="38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9805</Words>
  <Characters>10135</Characters>
  <Lines>73</Lines>
  <Paragraphs>20</Paragraphs>
  <TotalTime>60</TotalTime>
  <ScaleCrop>false</ScaleCrop>
  <LinksUpToDate>false</LinksUpToDate>
  <CharactersWithSpaces>10135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2020-09-19T18:41:00Z</dcterms:created>
  <dc:creator>HuskAr</dc:creator>
  <cp:lastModifiedBy>nn</cp:lastModifiedBy>
  <cp:lastPrinted>2025-02-05T08:42:25Z</cp:lastPrinted>
  <dcterms:modified xsi:type="dcterms:W3CDTF">2025-02-05T09:43:04Z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公文模板版本">
    <vt:lpwstr>20190329</vt:lpwstr>
  </property>
  <property fmtid="{D5CDD505-2E9C-101B-9397-08002B2CF9AE}" pid="4" name="ICV">
    <vt:lpwstr>CB44EB92834E4B0BA113C56A7C4A0836_12</vt:lpwstr>
  </property>
  <property fmtid="{D5CDD505-2E9C-101B-9397-08002B2CF9AE}" pid="5" name="KSOTemplateDocerSaveRecord">
    <vt:lpwstr>eyJoZGlkIjoiOThhZDUzOWM1MzdhZmJmZTFhY2JhZDVhOGFhODBlNWMiLCJ1c2VySWQiOiI0NTY4NDAwNzIifQ==</vt:lpwstr>
  </property>
</Properties>
</file>