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1325" w:firstLineChars="300"/>
        <w:jc w:val="left"/>
        <w:rPr>
          <w:rFonts w:hint="eastAsia" w:ascii="FangSong_GB2312" w:hAnsi="FangSong_GB2312" w:eastAsia="FangSong_GB2312"/>
          <w:b/>
          <w:bCs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44"/>
          <w:szCs w:val="44"/>
          <w:lang w:val="en-US" w:eastAsia="zh-CN"/>
        </w:rPr>
        <w:t>乐清市山塘巡查管理考核办法</w:t>
      </w:r>
    </w:p>
    <w:p>
      <w:pPr>
        <w:spacing w:beforeLines="0" w:afterLines="0"/>
        <w:ind w:firstLine="1084" w:firstLineChars="300"/>
        <w:jc w:val="left"/>
        <w:rPr>
          <w:rFonts w:hint="default" w:ascii="FangSong_GB2312" w:hAnsi="FangSong_GB2312" w:eastAsia="FangSong_GB2312"/>
          <w:b/>
          <w:bCs/>
          <w:sz w:val="36"/>
          <w:szCs w:val="36"/>
          <w:lang w:val="en-US" w:eastAsia="zh-CN"/>
        </w:rPr>
      </w:pP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第一条为加强我市山塘规范管理，保障工程安全，充分发挥工程效益，根据《中华人民共和国水法》、《中华人民共和国防洪法》等法律、法规和水利部《水利工程管理考核办法》</w:t>
      </w:r>
      <w:r>
        <w:rPr>
          <w:rFonts w:hint="eastAsia" w:ascii="FangSong_GB2312" w:hAnsi="FangSong_GB2312" w:eastAsia="FangSong_GB2312"/>
          <w:sz w:val="32"/>
          <w:szCs w:val="24"/>
          <w:lang w:eastAsia="zh-CN"/>
        </w:rPr>
        <w:t>、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浙江省水利厅《浙江省山塘安全管理办法》</w:t>
      </w:r>
      <w:r>
        <w:rPr>
          <w:rFonts w:hint="eastAsia" w:ascii="FangSong_GB2312" w:hAnsi="FangSong_GB2312" w:eastAsia="FangSong_GB2312"/>
          <w:sz w:val="32"/>
          <w:szCs w:val="24"/>
        </w:rPr>
        <w:t>，结合乐清实际，制定本办法。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第二条本办法适用于全市山塘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工程</w:t>
      </w:r>
      <w:r>
        <w:rPr>
          <w:rFonts w:hint="eastAsia" w:ascii="FangSong_GB2312" w:hAnsi="FangSong_GB2312" w:eastAsia="FangSong_GB2312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第三条管理考核对象为山塘工程管理单位（指直接管理山塘工程，在财务上实行独立核算的单位）。重点考核山塘工程的巡查管理工作，包括学习培训、安全巡查、安全管理三类。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第四条年度考核采用自评、复评的方式，各流域管理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对辖区内山塘进行考核。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第五条考核程序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（一）自评。每年12月底前各镇街道组织辖区内工程管理单位完成自查、自评工作，编写自评报告，并将结果报</w:t>
      </w:r>
      <w:bookmarkStart w:id="0" w:name="_GoBack"/>
      <w:bookmarkEnd w:id="0"/>
      <w:r>
        <w:rPr>
          <w:rFonts w:hint="eastAsia" w:ascii="FangSong_GB2312" w:hAnsi="FangSong_GB2312" w:eastAsia="FangSong_GB2312"/>
          <w:sz w:val="32"/>
          <w:szCs w:val="24"/>
        </w:rPr>
        <w:t>所在地流域管理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（二）复评。次年1月底前所在地流域管理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组织复评，并提出复评意见报市水利局。2月底前，市水利局公布考评结果。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第六条考核实行100 分制，考核结果为90 分至100 分的（含90 分），按照其确定的补助金额全额补助；考核结果为80分至90 分的（含80 分），按照其确定的补助金额80%的标准给予补助；80 分以下的，不予补助。正在除险加固（整治）的山塘不进行考核。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第七条考核工作应遵循实事求是、客观公正、规范有序的原则。有下列情形之一的，不予补助：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1、发生重大安全责任事故；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2、考核工作弄虚作假的；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3、有其他违法违纪行为的；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4、未签订巡查责任书的。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第八条市水利局对考核结果为优秀的给予表彰；对考核结果为不合格的予以通报批评，并责令限期整改，山塘主管单位要积极督促和配合做好整改工作。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第九条本办法由乐清市水利局负责解释。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第十条本办法自颁布之日起施行。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2BF1"/>
    <w:rsid w:val="11B76014"/>
    <w:rsid w:val="278F2BF1"/>
    <w:rsid w:val="67C65874"/>
    <w:rsid w:val="7F2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2024-01-23T06:27:00Z</dcterms:created>
  <dc:creator>徐素云</dc:creator>
  <cp:lastModifiedBy>徐素云</cp:lastModifiedBy>
  <dcterms:modified xsi:type="dcterms:W3CDTF">2024-02-20T08:02:47Z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9B6619BBCA73425C83634E35789A45B5</vt:lpwstr>
  </property>
</Properties>
</file>