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7025A">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default" w:ascii="Times New Roman" w:hAnsi="Times New Roman" w:eastAsia="方正大标宋_GBK" w:cs="Times New Roman"/>
          <w:b w:val="0"/>
          <w:bCs w:val="0"/>
          <w:color w:val="000000"/>
          <w:sz w:val="44"/>
          <w:szCs w:val="44"/>
          <w:lang w:val="en-US" w:eastAsia="zh-CN" w:bidi="ar-SA"/>
        </w:rPr>
      </w:pPr>
    </w:p>
    <w:p w14:paraId="6CA5C79B">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hint="default" w:ascii="Times New Roman" w:hAnsi="Times New Roman" w:eastAsia="方正小标宋_GBK" w:cs="Times New Roman"/>
          <w:color w:val="auto"/>
          <w:kern w:val="2"/>
          <w:sz w:val="44"/>
          <w:szCs w:val="44"/>
          <w:highlight w:val="none"/>
          <w:lang w:val="en-US" w:eastAsia="zh-CN"/>
        </w:rPr>
      </w:pPr>
      <w:r>
        <w:rPr>
          <w:rFonts w:hint="default" w:ascii="Times New Roman" w:hAnsi="Times New Roman" w:eastAsia="方正小标宋_GBK" w:cs="Times New Roman"/>
          <w:color w:val="auto"/>
          <w:kern w:val="2"/>
          <w:sz w:val="44"/>
          <w:szCs w:val="44"/>
          <w:highlight w:val="none"/>
          <w:lang w:val="en-US" w:eastAsia="zh-CN"/>
        </w:rPr>
        <w:t>温州市加快建设人工智能创新发展先行市的若干政策举措（2025-2027年）</w:t>
      </w:r>
    </w:p>
    <w:p w14:paraId="18F3F862">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hint="default" w:ascii="Times New Roman" w:hAnsi="Times New Roman" w:eastAsia="方正小标宋_GBK" w:cs="Times New Roman"/>
          <w:color w:val="auto"/>
          <w:kern w:val="2"/>
          <w:sz w:val="44"/>
          <w:szCs w:val="44"/>
          <w:highlight w:val="none"/>
          <w:lang w:val="en-US" w:eastAsia="en-US"/>
        </w:rPr>
      </w:pPr>
      <w:r>
        <w:rPr>
          <w:rFonts w:hint="default" w:ascii="Times New Roman" w:hAnsi="Times New Roman" w:eastAsia="方正小标宋_GBK" w:cs="Times New Roman"/>
          <w:color w:val="auto"/>
          <w:kern w:val="2"/>
          <w:sz w:val="44"/>
          <w:szCs w:val="44"/>
          <w:highlight w:val="none"/>
          <w:lang w:val="en-US" w:eastAsia="zh-CN"/>
        </w:rPr>
        <w:t>（</w:t>
      </w:r>
      <w:r>
        <w:rPr>
          <w:rFonts w:hint="eastAsia" w:ascii="Times New Roman" w:hAnsi="Times New Roman" w:eastAsia="方正小标宋_GBK" w:cs="Times New Roman"/>
          <w:color w:val="auto"/>
          <w:kern w:val="2"/>
          <w:sz w:val="44"/>
          <w:szCs w:val="44"/>
          <w:highlight w:val="none"/>
          <w:lang w:val="en-US" w:eastAsia="zh-CN"/>
        </w:rPr>
        <w:t>征求意见</w:t>
      </w:r>
      <w:r>
        <w:rPr>
          <w:rFonts w:hint="default" w:ascii="Times New Roman" w:hAnsi="Times New Roman" w:eastAsia="方正小标宋_GBK" w:cs="Times New Roman"/>
          <w:color w:val="auto"/>
          <w:kern w:val="2"/>
          <w:sz w:val="44"/>
          <w:szCs w:val="44"/>
          <w:highlight w:val="none"/>
          <w:lang w:val="en-US" w:eastAsia="zh-CN"/>
        </w:rPr>
        <w:t>稿）</w:t>
      </w:r>
      <w:bookmarkStart w:id="0" w:name="_GoBack"/>
      <w:bookmarkEnd w:id="0"/>
    </w:p>
    <w:p w14:paraId="783711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color w:val="000000"/>
          <w:sz w:val="32"/>
          <w:szCs w:val="32"/>
          <w:u w:val="none"/>
          <w:lang w:val="en-US" w:eastAsia="zh-CN"/>
        </w:rPr>
      </w:pPr>
    </w:p>
    <w:p w14:paraId="35275E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为认真贯彻国家关于人工智能发展的战略部署，全面落实省委和市委关于加快推进人工智能技术创新与产业融合，打造人工智能创新发展先行市的工作要求，根据《浙江省人民政府印发关于支持人工智能创新发展若干措施的通知》（浙政发〔2025〕10号）等相关文件要求，结合我市实际，制定以下政策举措。</w:t>
      </w:r>
    </w:p>
    <w:p w14:paraId="55F549DF">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降低创新成本，夯实技术根基</w:t>
      </w:r>
    </w:p>
    <w:p w14:paraId="1E50C28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（一）实施“算力券”“算力贷”政策</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加强算力调度平台建设，支持企业研发和应用大模型。</w:t>
      </w:r>
      <w:r>
        <w:rPr>
          <w:rFonts w:hint="default" w:ascii="Times New Roman" w:hAnsi="Times New Roman" w:eastAsia="仿宋_GB2312" w:cs="Times New Roman"/>
          <w:color w:val="000000"/>
          <w:sz w:val="32"/>
          <w:szCs w:val="32"/>
          <w:lang w:eastAsia="zh-CN"/>
        </w:rPr>
        <w:t>对采购</w:t>
      </w:r>
      <w:r>
        <w:rPr>
          <w:rFonts w:hint="default" w:ascii="Times New Roman" w:hAnsi="Times New Roman" w:eastAsia="仿宋_GB2312" w:cs="Times New Roman"/>
          <w:color w:val="000000"/>
          <w:sz w:val="32"/>
          <w:szCs w:val="32"/>
        </w:rPr>
        <w:t>自主</w:t>
      </w:r>
      <w:r>
        <w:rPr>
          <w:rFonts w:hint="default" w:ascii="Times New Roman" w:hAnsi="Times New Roman" w:eastAsia="仿宋_GB2312" w:cs="Times New Roman"/>
          <w:color w:val="000000"/>
          <w:sz w:val="32"/>
          <w:szCs w:val="32"/>
          <w:lang w:eastAsia="zh-CN"/>
        </w:rPr>
        <w:t>智能</w:t>
      </w:r>
      <w:r>
        <w:rPr>
          <w:rFonts w:hint="default" w:ascii="Times New Roman" w:hAnsi="Times New Roman" w:eastAsia="仿宋_GB2312" w:cs="Times New Roman"/>
          <w:color w:val="000000"/>
          <w:sz w:val="32"/>
          <w:szCs w:val="32"/>
        </w:rPr>
        <w:t>算力服务的</w:t>
      </w:r>
      <w:r>
        <w:rPr>
          <w:rFonts w:hint="default" w:ascii="Times New Roman" w:hAnsi="Times New Roman" w:eastAsia="仿宋_GB2312" w:cs="Times New Roman"/>
          <w:color w:val="000000"/>
          <w:sz w:val="32"/>
          <w:szCs w:val="32"/>
          <w:lang w:eastAsia="zh-CN"/>
        </w:rPr>
        <w:t>企业、高校、科研机构等主体</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一般</w:t>
      </w:r>
      <w:r>
        <w:rPr>
          <w:rFonts w:hint="default" w:ascii="Times New Roman" w:hAnsi="Times New Roman" w:eastAsia="仿宋_GB2312" w:cs="Times New Roman"/>
          <w:color w:val="000000"/>
          <w:sz w:val="32"/>
          <w:szCs w:val="32"/>
        </w:rPr>
        <w:t>按照不高于合同实际执行金额的30%给予</w:t>
      </w:r>
      <w:r>
        <w:rPr>
          <w:rFonts w:hint="default" w:ascii="Times New Roman" w:hAnsi="Times New Roman" w:eastAsia="仿宋_GB2312" w:cs="Times New Roman"/>
          <w:color w:val="000000"/>
          <w:sz w:val="32"/>
          <w:szCs w:val="32"/>
          <w:lang w:eastAsia="zh-CN"/>
        </w:rPr>
        <w:t>补贴</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采购</w:t>
      </w:r>
      <w:r>
        <w:rPr>
          <w:rFonts w:hint="default" w:ascii="Times New Roman" w:hAnsi="Times New Roman" w:eastAsia="仿宋_GB2312" w:cs="Times New Roman"/>
          <w:color w:val="000000"/>
          <w:sz w:val="32"/>
          <w:szCs w:val="32"/>
        </w:rPr>
        <w:t>非自主</w:t>
      </w:r>
      <w:r>
        <w:rPr>
          <w:rFonts w:hint="default" w:ascii="Times New Roman" w:hAnsi="Times New Roman" w:eastAsia="仿宋_GB2312" w:cs="Times New Roman"/>
          <w:color w:val="000000"/>
          <w:sz w:val="32"/>
          <w:szCs w:val="32"/>
          <w:lang w:eastAsia="zh-CN"/>
        </w:rPr>
        <w:t>智能</w:t>
      </w:r>
      <w:r>
        <w:rPr>
          <w:rFonts w:hint="default" w:ascii="Times New Roman" w:hAnsi="Times New Roman" w:eastAsia="仿宋_GB2312" w:cs="Times New Roman"/>
          <w:color w:val="000000"/>
          <w:sz w:val="32"/>
          <w:szCs w:val="32"/>
        </w:rPr>
        <w:t>算力服务的，</w:t>
      </w:r>
      <w:r>
        <w:rPr>
          <w:rFonts w:hint="default" w:ascii="Times New Roman" w:hAnsi="Times New Roman" w:eastAsia="仿宋_GB2312" w:cs="Times New Roman"/>
          <w:color w:val="000000"/>
          <w:sz w:val="32"/>
          <w:szCs w:val="32"/>
          <w:lang w:eastAsia="zh-CN"/>
        </w:rPr>
        <w:t>一般</w:t>
      </w:r>
      <w:r>
        <w:rPr>
          <w:rFonts w:hint="default" w:ascii="Times New Roman" w:hAnsi="Times New Roman" w:eastAsia="仿宋_GB2312" w:cs="Times New Roman"/>
          <w:color w:val="000000"/>
          <w:sz w:val="32"/>
          <w:szCs w:val="32"/>
        </w:rPr>
        <w:t>按照不高于合同实际执行金额的10%给予</w:t>
      </w:r>
      <w:r>
        <w:rPr>
          <w:rFonts w:hint="default" w:ascii="Times New Roman" w:hAnsi="Times New Roman" w:eastAsia="仿宋_GB2312" w:cs="Times New Roman"/>
          <w:color w:val="000000"/>
          <w:sz w:val="32"/>
          <w:szCs w:val="32"/>
          <w:lang w:eastAsia="zh-CN"/>
        </w:rPr>
        <w:t>补贴</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单家企业每年补助金额不超过</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strike w:val="0"/>
          <w:color w:val="000000"/>
          <w:sz w:val="32"/>
          <w:szCs w:val="32"/>
        </w:rPr>
        <w:t>。</w:t>
      </w:r>
      <w:r>
        <w:rPr>
          <w:rFonts w:hint="default" w:ascii="Times New Roman" w:hAnsi="Times New Roman" w:eastAsia="仿宋_GB2312" w:cs="Times New Roman"/>
          <w:strike w:val="0"/>
          <w:color w:val="000000"/>
          <w:sz w:val="32"/>
          <w:szCs w:val="32"/>
          <w:lang w:eastAsia="zh-CN"/>
        </w:rPr>
        <w:t>申请算力补贴的主体，同步</w:t>
      </w:r>
      <w:r>
        <w:rPr>
          <w:rFonts w:hint="default" w:ascii="Times New Roman" w:hAnsi="Times New Roman" w:eastAsia="仿宋_GB2312" w:cs="Times New Roman"/>
          <w:b w:val="0"/>
          <w:bCs w:val="0"/>
          <w:color w:val="000000"/>
          <w:sz w:val="32"/>
          <w:szCs w:val="32"/>
          <w:lang w:val="en-US" w:eastAsia="zh-CN"/>
        </w:rPr>
        <w:t>推荐申请国家、省算力券（智能券）补贴。</w:t>
      </w:r>
      <w:r>
        <w:rPr>
          <w:rFonts w:hint="default" w:ascii="Times New Roman" w:hAnsi="Times New Roman" w:eastAsia="仿宋_GB2312" w:cs="Times New Roman"/>
          <w:strike w:val="0"/>
          <w:color w:val="000000"/>
          <w:sz w:val="32"/>
          <w:szCs w:val="32"/>
          <w:lang w:val="en-US" w:eastAsia="zh-CN"/>
        </w:rPr>
        <w:t>支持</w:t>
      </w:r>
      <w:r>
        <w:rPr>
          <w:rFonts w:hint="default" w:ascii="Times New Roman" w:hAnsi="Times New Roman" w:eastAsia="仿宋_GB2312" w:cs="Times New Roman"/>
          <w:strike w:val="0"/>
          <w:color w:val="000000"/>
          <w:sz w:val="32"/>
          <w:szCs w:val="32"/>
        </w:rPr>
        <w:t>开展</w:t>
      </w:r>
      <w:r>
        <w:rPr>
          <w:rFonts w:hint="default" w:ascii="Times New Roman" w:hAnsi="Times New Roman" w:eastAsia="仿宋_GB2312" w:cs="Times New Roman"/>
          <w:strike w:val="0"/>
          <w:color w:val="000000"/>
          <w:sz w:val="32"/>
          <w:szCs w:val="32"/>
          <w:lang w:eastAsia="zh-CN"/>
        </w:rPr>
        <w:t>“</w:t>
      </w:r>
      <w:r>
        <w:rPr>
          <w:rFonts w:hint="default" w:ascii="Times New Roman" w:hAnsi="Times New Roman" w:eastAsia="仿宋_GB2312" w:cs="Times New Roman"/>
          <w:color w:val="000000"/>
          <w:kern w:val="0"/>
          <w:sz w:val="32"/>
          <w:szCs w:val="32"/>
          <w:lang w:eastAsia="zh-CN" w:bidi="ar"/>
        </w:rPr>
        <w:t>算力贷</w:t>
      </w:r>
      <w:r>
        <w:rPr>
          <w:rFonts w:hint="default" w:ascii="Times New Roman" w:hAnsi="Times New Roman" w:eastAsia="仿宋_GB2312" w:cs="Times New Roman"/>
          <w:strike w:val="0"/>
          <w:color w:val="000000"/>
          <w:sz w:val="32"/>
          <w:szCs w:val="32"/>
          <w:lang w:eastAsia="zh-CN"/>
        </w:rPr>
        <w:t>”业务</w:t>
      </w:r>
      <w:r>
        <w:rPr>
          <w:rFonts w:hint="default" w:ascii="Times New Roman" w:hAnsi="Times New Roman" w:eastAsia="仿宋_GB2312" w:cs="Times New Roman"/>
          <w:color w:val="000000"/>
          <w:kern w:val="0"/>
          <w:sz w:val="32"/>
          <w:szCs w:val="32"/>
          <w:lang w:eastAsia="zh-CN" w:bidi="ar"/>
        </w:rPr>
        <w:t>，将算力资产纳入授信评价模型，根据算力服务合约周期和金额合理确定授信额度。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责任单位：</w:t>
      </w:r>
      <w:r>
        <w:rPr>
          <w:rFonts w:hint="default" w:ascii="Times New Roman" w:hAnsi="Times New Roman" w:eastAsia="仿宋_GB2312" w:cs="Times New Roman"/>
          <w:color w:val="000000"/>
          <w:sz w:val="32"/>
          <w:szCs w:val="32"/>
          <w:lang w:val="en-US" w:eastAsia="zh-CN"/>
        </w:rPr>
        <w:t>市数据局、</w:t>
      </w:r>
      <w:r>
        <w:rPr>
          <w:rFonts w:hint="default" w:ascii="Times New Roman" w:hAnsi="Times New Roman" w:eastAsia="仿宋_GB2312" w:cs="Times New Roman"/>
          <w:color w:val="000000"/>
          <w:sz w:val="32"/>
          <w:szCs w:val="32"/>
          <w:lang w:eastAsia="zh-CN"/>
        </w:rPr>
        <w:t>人民银行温州分行、温州工业与能源集团</w:t>
      </w:r>
      <w:r>
        <w:rPr>
          <w:rFonts w:hint="default" w:ascii="Times New Roman" w:hAnsi="Times New Roman" w:eastAsia="仿宋_GB2312" w:cs="Times New Roman"/>
          <w:b w:val="0"/>
          <w:bCs w:val="0"/>
          <w:color w:val="000000"/>
          <w:sz w:val="32"/>
          <w:szCs w:val="32"/>
          <w:lang w:eastAsia="zh-CN"/>
        </w:rPr>
        <w:t>&lt;</w:t>
      </w:r>
      <w:r>
        <w:rPr>
          <w:rFonts w:hint="default" w:ascii="Times New Roman" w:hAnsi="Times New Roman" w:eastAsia="仿宋_GB2312" w:cs="Times New Roman"/>
          <w:b w:val="0"/>
          <w:bCs w:val="0"/>
          <w:color w:val="000000"/>
          <w:sz w:val="32"/>
          <w:szCs w:val="32"/>
          <w:lang w:val="en-US" w:eastAsia="zh-CN"/>
        </w:rPr>
        <w:t>温州数据集团</w:t>
      </w:r>
      <w:r>
        <w:rPr>
          <w:rFonts w:hint="default" w:ascii="Times New Roman" w:hAnsi="Times New Roman" w:eastAsia="仿宋_GB2312" w:cs="Times New Roman"/>
          <w:b w:val="0"/>
          <w:bCs w:val="0"/>
          <w:color w:val="000000"/>
          <w:sz w:val="32"/>
          <w:szCs w:val="32"/>
          <w:lang w:eastAsia="zh-CN"/>
        </w:rPr>
        <w:t>&gt;</w:t>
      </w:r>
      <w:r>
        <w:rPr>
          <w:rFonts w:hint="default" w:ascii="Times New Roman" w:hAnsi="Times New Roman" w:eastAsia="仿宋_GB2312" w:cs="Times New Roman"/>
          <w:color w:val="000000"/>
          <w:sz w:val="32"/>
          <w:szCs w:val="32"/>
          <w:lang w:val="en-US" w:eastAsia="zh-CN"/>
        </w:rPr>
        <w:t>）</w:t>
      </w:r>
    </w:p>
    <w:p w14:paraId="0E82532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（二）实施“模型券”政策。</w:t>
      </w:r>
      <w:r>
        <w:rPr>
          <w:rFonts w:hint="default" w:ascii="Times New Roman" w:hAnsi="Times New Roman" w:eastAsia="仿宋_GB2312" w:cs="Times New Roman"/>
          <w:color w:val="000000"/>
          <w:sz w:val="32"/>
          <w:szCs w:val="32"/>
          <w:u w:val="none"/>
          <w:lang w:val="en-US" w:eastAsia="zh-CN"/>
        </w:rPr>
        <w:t>对调用云平台部署的第三方大模型API，或采用第三方大模型私有化部署方式，推进大模型垂类应用的</w:t>
      </w:r>
      <w:r>
        <w:rPr>
          <w:rFonts w:hint="default" w:ascii="Times New Roman" w:hAnsi="Times New Roman" w:eastAsia="仿宋_GB2312" w:cs="Times New Roman"/>
          <w:color w:val="000000"/>
          <w:sz w:val="32"/>
          <w:szCs w:val="32"/>
          <w:lang w:eastAsia="zh-CN"/>
        </w:rPr>
        <w:t>企业、高校、科研机构等主体</w:t>
      </w:r>
      <w:r>
        <w:rPr>
          <w:rFonts w:hint="default"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lang w:eastAsia="zh-CN"/>
        </w:rPr>
        <w:t>一般</w:t>
      </w:r>
      <w:r>
        <w:rPr>
          <w:rFonts w:hint="default" w:ascii="Times New Roman" w:hAnsi="Times New Roman" w:eastAsia="仿宋_GB2312" w:cs="Times New Roman"/>
          <w:color w:val="000000"/>
          <w:sz w:val="32"/>
          <w:szCs w:val="32"/>
        </w:rPr>
        <w:t>按照不高于合同实际执行金额的30%给予</w:t>
      </w:r>
      <w:r>
        <w:rPr>
          <w:rFonts w:hint="default" w:ascii="Times New Roman" w:hAnsi="Times New Roman" w:eastAsia="仿宋_GB2312" w:cs="Times New Roman"/>
          <w:color w:val="000000"/>
          <w:sz w:val="32"/>
          <w:szCs w:val="32"/>
          <w:lang w:eastAsia="zh-CN"/>
        </w:rPr>
        <w:t>补贴，单家企业每年补助金额不超过</w:t>
      </w:r>
      <w:r>
        <w:rPr>
          <w:rFonts w:hint="default"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strike w:val="0"/>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责任单位：</w:t>
      </w:r>
      <w:r>
        <w:rPr>
          <w:rFonts w:hint="default" w:ascii="Times New Roman" w:hAnsi="Times New Roman" w:eastAsia="仿宋_GB2312" w:cs="Times New Roman"/>
          <w:color w:val="000000"/>
          <w:sz w:val="32"/>
          <w:szCs w:val="32"/>
          <w:lang w:val="en-US" w:eastAsia="zh-CN"/>
        </w:rPr>
        <w:t>市数据局）</w:t>
      </w:r>
    </w:p>
    <w:p w14:paraId="7C50507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val="en-US" w:eastAsia="zh-CN"/>
        </w:rPr>
        <w:t>三）实施“数据券”政策。</w:t>
      </w:r>
      <w:r>
        <w:rPr>
          <w:rFonts w:hint="default" w:ascii="Times New Roman" w:hAnsi="Times New Roman" w:eastAsia="仿宋_GB2312" w:cs="Times New Roman"/>
          <w:b w:val="0"/>
          <w:bCs w:val="0"/>
          <w:color w:val="000000"/>
          <w:sz w:val="32"/>
          <w:szCs w:val="32"/>
          <w:lang w:val="en-US" w:eastAsia="zh-CN"/>
        </w:rPr>
        <w:t>支持</w:t>
      </w:r>
      <w:r>
        <w:rPr>
          <w:rFonts w:hint="default" w:ascii="Times New Roman" w:hAnsi="Times New Roman" w:eastAsia="仿宋_GB2312" w:cs="Times New Roman"/>
          <w:color w:val="000000"/>
          <w:sz w:val="32"/>
          <w:szCs w:val="32"/>
          <w:lang w:eastAsia="zh-CN"/>
        </w:rPr>
        <w:t>企业、高校、科研机构等主体投资建设、应用</w:t>
      </w:r>
      <w:r>
        <w:rPr>
          <w:rFonts w:hint="default" w:ascii="Times New Roman" w:hAnsi="Times New Roman" w:eastAsia="仿宋_GB2312" w:cs="Times New Roman"/>
          <w:b w:val="0"/>
          <w:bCs w:val="0"/>
          <w:color w:val="000000"/>
          <w:sz w:val="32"/>
          <w:szCs w:val="32"/>
          <w:lang w:val="en-US" w:eastAsia="zh-CN"/>
        </w:rPr>
        <w:t>高质量数据集并在温州数据交易中心上架交易。每年择优评选5个高质量数据集，按照不超过实际投入的30%给予奖励，同一单位年度最高奖励50万元。（责任单位：市数据局，</w:t>
      </w:r>
      <w:r>
        <w:rPr>
          <w:rFonts w:hint="default" w:ascii="Times New Roman" w:hAnsi="Times New Roman" w:eastAsia="仿宋_GB2312" w:cs="Times New Roman"/>
          <w:b w:val="0"/>
          <w:bCs w:val="0"/>
          <w:color w:val="000000"/>
          <w:sz w:val="32"/>
          <w:szCs w:val="32"/>
          <w:lang w:eastAsia="zh-CN"/>
        </w:rPr>
        <w:t>市国投公司&lt;</w:t>
      </w:r>
      <w:r>
        <w:rPr>
          <w:rFonts w:hint="default" w:ascii="Times New Roman" w:hAnsi="Times New Roman" w:eastAsia="仿宋_GB2312" w:cs="Times New Roman"/>
          <w:b w:val="0"/>
          <w:bCs w:val="0"/>
          <w:color w:val="000000"/>
          <w:sz w:val="32"/>
          <w:szCs w:val="32"/>
          <w:lang w:val="en-US" w:eastAsia="zh-CN"/>
        </w:rPr>
        <w:t>温州数据交易中心</w:t>
      </w:r>
      <w:r>
        <w:rPr>
          <w:rFonts w:hint="default" w:ascii="Times New Roman" w:hAnsi="Times New Roman" w:eastAsia="仿宋_GB2312" w:cs="Times New Roman"/>
          <w:b w:val="0"/>
          <w:bCs w:val="0"/>
          <w:color w:val="000000"/>
          <w:sz w:val="32"/>
          <w:szCs w:val="32"/>
          <w:lang w:eastAsia="zh-CN"/>
        </w:rPr>
        <w:t>&gt;</w:t>
      </w:r>
      <w:r>
        <w:rPr>
          <w:rFonts w:hint="default" w:ascii="Times New Roman" w:hAnsi="Times New Roman" w:eastAsia="仿宋_GB2312" w:cs="Times New Roman"/>
          <w:b w:val="0"/>
          <w:bCs w:val="0"/>
          <w:color w:val="000000"/>
          <w:sz w:val="32"/>
          <w:szCs w:val="32"/>
          <w:lang w:val="en-US" w:eastAsia="zh-CN"/>
        </w:rPr>
        <w:t>）。</w:t>
      </w:r>
    </w:p>
    <w:p w14:paraId="43B1A78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培育应用生态，推动场景落地</w:t>
      </w:r>
    </w:p>
    <w:p w14:paraId="39B58C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eastAsia="仿宋_GB2312" w:cs="Times New Roman"/>
          <w:color w:val="000000"/>
          <w:sz w:val="32"/>
          <w:szCs w:val="32"/>
          <w:lang w:eastAsia="zh-CN"/>
        </w:rPr>
      </w:pPr>
      <w:r>
        <w:rPr>
          <w:rFonts w:hint="default" w:ascii="Times New Roman" w:hAnsi="Times New Roman" w:cs="Times New Roman"/>
          <w:b/>
          <w:bCs/>
          <w:color w:val="000000"/>
          <w:sz w:val="32"/>
          <w:szCs w:val="32"/>
          <w:lang w:eastAsia="zh-CN"/>
        </w:rPr>
        <w:t>（</w:t>
      </w:r>
      <w:r>
        <w:rPr>
          <w:rFonts w:hint="default" w:ascii="Times New Roman" w:hAnsi="Times New Roman" w:cs="Times New Roman"/>
          <w:b/>
          <w:bCs/>
          <w:color w:val="000000"/>
          <w:sz w:val="32"/>
          <w:szCs w:val="32"/>
          <w:lang w:val="en-US" w:eastAsia="zh-CN"/>
        </w:rPr>
        <w:t>四</w:t>
      </w:r>
      <w:r>
        <w:rPr>
          <w:rFonts w:hint="default" w:ascii="Times New Roman" w:hAnsi="Times New Roman" w:cs="Times New Roman"/>
          <w:b/>
          <w:bCs/>
          <w:color w:val="000000"/>
          <w:sz w:val="32"/>
          <w:szCs w:val="32"/>
          <w:lang w:eastAsia="zh-CN"/>
        </w:rPr>
        <w:t>）</w:t>
      </w:r>
      <w:r>
        <w:rPr>
          <w:rFonts w:hint="default" w:ascii="Times New Roman" w:hAnsi="Times New Roman" w:eastAsia="仿宋_GB2312" w:cs="Times New Roman"/>
          <w:b/>
          <w:bCs/>
          <w:color w:val="000000"/>
          <w:sz w:val="32"/>
          <w:szCs w:val="32"/>
        </w:rPr>
        <w:t>支持开展核心技术的研发攻关</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支持</w:t>
      </w:r>
      <w:r>
        <w:rPr>
          <w:rFonts w:hint="default" w:ascii="Times New Roman" w:hAnsi="Times New Roman" w:eastAsia="仿宋_GB2312" w:cs="Times New Roman"/>
          <w:color w:val="000000"/>
          <w:sz w:val="32"/>
          <w:szCs w:val="32"/>
          <w:lang w:val="en-US" w:eastAsia="zh-CN"/>
        </w:rPr>
        <w:t>企业</w:t>
      </w:r>
      <w:r>
        <w:rPr>
          <w:rFonts w:hint="default" w:ascii="Times New Roman" w:hAnsi="Times New Roman" w:eastAsia="仿宋_GB2312" w:cs="Times New Roman"/>
          <w:color w:val="000000"/>
          <w:sz w:val="32"/>
          <w:szCs w:val="32"/>
          <w:lang w:eastAsia="zh-CN"/>
        </w:rPr>
        <w:t>开展人工智能算法创新、芯片研发、数据处理、</w:t>
      </w:r>
      <w:r>
        <w:rPr>
          <w:rFonts w:hint="default" w:ascii="Times New Roman" w:hAnsi="Times New Roman" w:eastAsia="仿宋_GB2312" w:cs="Times New Roman"/>
          <w:color w:val="000000"/>
          <w:sz w:val="32"/>
          <w:szCs w:val="32"/>
          <w:lang w:val="en-US" w:eastAsia="zh-CN"/>
        </w:rPr>
        <w:t>垂类大</w:t>
      </w:r>
      <w:r>
        <w:rPr>
          <w:rFonts w:hint="default" w:ascii="Times New Roman" w:hAnsi="Times New Roman" w:eastAsia="仿宋_GB2312" w:cs="Times New Roman"/>
          <w:color w:val="000000"/>
          <w:sz w:val="32"/>
          <w:szCs w:val="32"/>
          <w:lang w:eastAsia="zh-CN"/>
        </w:rPr>
        <w:t>模型、</w:t>
      </w:r>
      <w:r>
        <w:rPr>
          <w:rFonts w:hint="default" w:ascii="Times New Roman" w:hAnsi="Times New Roman" w:eastAsia="仿宋_GB2312" w:cs="Times New Roman"/>
          <w:color w:val="000000"/>
          <w:sz w:val="32"/>
          <w:szCs w:val="32"/>
          <w:lang w:val="en-US" w:eastAsia="zh-CN"/>
        </w:rPr>
        <w:t>“人工智能+”应用</w:t>
      </w:r>
      <w:r>
        <w:rPr>
          <w:rFonts w:hint="default" w:ascii="Times New Roman" w:hAnsi="Times New Roman" w:eastAsia="仿宋_GB2312" w:cs="Times New Roman"/>
          <w:color w:val="000000"/>
          <w:sz w:val="32"/>
          <w:szCs w:val="32"/>
          <w:lang w:eastAsia="zh-CN"/>
        </w:rPr>
        <w:t>等核心技术研发，落实企业研发费用后补助政策，根据企业上年度研发费用进行分档计算，给予最高300万元补助。具体按照《温州市人民政府关于印发2025年温州市级产业政策的通知》（温政发</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2025</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8号文件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第6条相关规定执行。</w:t>
      </w:r>
      <w:r>
        <w:rPr>
          <w:rFonts w:hint="default" w:ascii="Times New Roman" w:hAnsi="Times New Roman" w:eastAsia="仿宋_GB2312" w:cs="Times New Roman"/>
          <w:color w:val="000000"/>
          <w:sz w:val="32"/>
          <w:szCs w:val="32"/>
          <w:lang w:eastAsia="zh-CN"/>
        </w:rPr>
        <w:t>（责任单位：市科技局</w:t>
      </w:r>
      <w:r>
        <w:rPr>
          <w:rFonts w:hint="default" w:ascii="Times New Roman" w:hAnsi="Times New Roman" w:eastAsia="仿宋_GB2312" w:cs="Times New Roman"/>
          <w:color w:val="000000"/>
          <w:sz w:val="32"/>
          <w:szCs w:val="32"/>
          <w:lang w:val="en" w:eastAsia="zh-CN"/>
        </w:rPr>
        <w:t>、市经信局</w:t>
      </w:r>
      <w:r>
        <w:rPr>
          <w:rFonts w:hint="default" w:ascii="Times New Roman" w:hAnsi="Times New Roman" w:eastAsia="仿宋_GB2312" w:cs="Times New Roman"/>
          <w:color w:val="000000"/>
          <w:sz w:val="32"/>
          <w:szCs w:val="32"/>
          <w:lang w:eastAsia="zh-CN"/>
        </w:rPr>
        <w:t>）</w:t>
      </w:r>
    </w:p>
    <w:p w14:paraId="33C454C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eastAsia="zh-CN"/>
        </w:rPr>
        <w:t>五</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highlight w:val="none"/>
        </w:rPr>
        <w:t>支持市级重点科研项目</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rPr>
        <w:t>支持实施以突破人工智能关键核心技术为导向的市级重大科技攻关项目，其中企业牵头立项单个项目按不超过项目经费总投入的20%、最高给予200万元补助。</w:t>
      </w:r>
      <w:r>
        <w:rPr>
          <w:rFonts w:hint="default" w:ascii="Times New Roman" w:hAnsi="Times New Roman" w:eastAsia="仿宋_GB2312" w:cs="Times New Roman"/>
          <w:color w:val="000000"/>
          <w:sz w:val="32"/>
          <w:szCs w:val="32"/>
          <w:lang w:eastAsia="zh-CN"/>
        </w:rPr>
        <w:t>具体按照</w:t>
      </w:r>
      <w:r>
        <w:rPr>
          <w:rFonts w:hint="default" w:ascii="Times New Roman" w:hAnsi="Times New Roman" w:eastAsia="仿宋_GB2312" w:cs="Times New Roman"/>
          <w:color w:val="000000"/>
          <w:sz w:val="32"/>
          <w:szCs w:val="32"/>
          <w:highlight w:val="none"/>
          <w:u w:val="none"/>
          <w:lang w:eastAsia="zh-CN"/>
        </w:rPr>
        <w:t>《温州市人民政府关于印发2025年温州市级产业政策的通知》（温政发</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2025</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8号文件</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第2条相关规定执行。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责任单位：市科技局</w:t>
      </w:r>
      <w:r>
        <w:rPr>
          <w:rFonts w:hint="default" w:ascii="Times New Roman" w:hAnsi="Times New Roman" w:eastAsia="仿宋_GB2312" w:cs="Times New Roman"/>
          <w:color w:val="000000"/>
          <w:sz w:val="32"/>
          <w:szCs w:val="32"/>
          <w:lang w:eastAsia="zh-CN"/>
        </w:rPr>
        <w:t>）</w:t>
      </w:r>
    </w:p>
    <w:p w14:paraId="227095A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lang w:eastAsia="zh-CN"/>
        </w:rPr>
        <w:t>六</w:t>
      </w:r>
      <w:r>
        <w:rPr>
          <w:rFonts w:hint="default" w:ascii="Times New Roman" w:hAnsi="Times New Roman" w:eastAsia="仿宋_GB2312" w:cs="Times New Roman"/>
          <w:b/>
          <w:bCs/>
          <w:color w:val="000000"/>
          <w:sz w:val="32"/>
          <w:szCs w:val="32"/>
          <w:highlight w:val="none"/>
          <w:lang w:val="en-US" w:eastAsia="zh-CN"/>
        </w:rPr>
        <w:t>）支持人工智能服务商发展。</w:t>
      </w:r>
      <w:r>
        <w:rPr>
          <w:rFonts w:hint="default" w:ascii="Times New Roman" w:hAnsi="Times New Roman" w:eastAsia="仿宋_GB2312" w:cs="Times New Roman"/>
          <w:color w:val="000000"/>
          <w:sz w:val="32"/>
          <w:szCs w:val="32"/>
          <w:lang w:val="en-US" w:eastAsia="zh-CN"/>
        </w:rPr>
        <w:t>对人工智能领域新认定的省级综合型、行业型、场景型数字化服务商，分别奖励20万元、15万元、10万元。</w:t>
      </w:r>
      <w:r>
        <w:rPr>
          <w:rFonts w:hint="default" w:ascii="Times New Roman" w:hAnsi="Times New Roman" w:eastAsia="仿宋_GB2312" w:cs="Times New Roman"/>
          <w:color w:val="000000"/>
          <w:sz w:val="32"/>
          <w:szCs w:val="32"/>
          <w:lang w:eastAsia="zh-CN"/>
        </w:rPr>
        <w:t>具体按照</w:t>
      </w:r>
      <w:r>
        <w:rPr>
          <w:rFonts w:hint="default" w:ascii="Times New Roman" w:hAnsi="Times New Roman" w:eastAsia="仿宋_GB2312" w:cs="Times New Roman"/>
          <w:color w:val="000000"/>
          <w:sz w:val="32"/>
          <w:szCs w:val="32"/>
          <w:lang w:val="en-US" w:eastAsia="zh-CN"/>
        </w:rPr>
        <w:t>《温州市人民政府关于印发2025年温州市级产业政策的通知》</w:t>
      </w:r>
      <w:r>
        <w:rPr>
          <w:rFonts w:hint="default" w:ascii="Times New Roman" w:hAnsi="Times New Roman" w:eastAsia="仿宋_GB2312" w:cs="Times New Roman"/>
          <w:color w:val="000000"/>
          <w:sz w:val="32"/>
          <w:szCs w:val="32"/>
          <w:lang w:eastAsia="zh-CN"/>
        </w:rPr>
        <w:t>（温政发</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2025</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8号文件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第17条相关规定执行。（</w:t>
      </w:r>
      <w:r>
        <w:rPr>
          <w:rFonts w:hint="default" w:ascii="Times New Roman" w:hAnsi="Times New Roman" w:eastAsia="仿宋_GB2312" w:cs="Times New Roman"/>
          <w:color w:val="000000"/>
          <w:sz w:val="32"/>
          <w:szCs w:val="32"/>
        </w:rPr>
        <w:t>责任单位：</w:t>
      </w:r>
      <w:r>
        <w:rPr>
          <w:rFonts w:hint="default" w:ascii="Times New Roman" w:hAnsi="Times New Roman" w:eastAsia="仿宋_GB2312" w:cs="Times New Roman"/>
          <w:color w:val="000000"/>
          <w:sz w:val="32"/>
          <w:szCs w:val="32"/>
          <w:lang w:val="en-US" w:eastAsia="zh-CN"/>
        </w:rPr>
        <w:t>市经信局)</w:t>
      </w:r>
    </w:p>
    <w:p w14:paraId="33D24978">
      <w:pPr>
        <w:keepNext w:val="0"/>
        <w:keepLines w:val="0"/>
        <w:pageBreakBefore w:val="0"/>
        <w:numPr>
          <w:ilvl w:val="-1"/>
          <w:numId w:val="0"/>
        </w:numPr>
        <w:kinsoku/>
        <w:wordWrap/>
        <w:overflowPunct/>
        <w:topLinePunct w:val="0"/>
        <w:autoSpaceDE/>
        <w:autoSpaceDN/>
        <w:bidi w:val="0"/>
        <w:adjustRightInd/>
        <w:snapToGrid/>
        <w:spacing w:before="0" w:after="0" w:line="560" w:lineRule="exact"/>
        <w:ind w:left="0" w:leftChars="0" w:firstLine="643" w:firstLineChars="200"/>
        <w:jc w:val="left"/>
        <w:textAlignment w:val="auto"/>
        <w:outlineLvl w:val="1"/>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bCs/>
          <w:color w:val="000000"/>
          <w:sz w:val="32"/>
          <w:szCs w:val="32"/>
          <w:lang w:val="en-US" w:eastAsia="zh-CN"/>
        </w:rPr>
        <w:t>（七）</w:t>
      </w:r>
      <w:r>
        <w:rPr>
          <w:rFonts w:hint="default" w:ascii="Times New Roman" w:hAnsi="Times New Roman" w:eastAsia="仿宋_GB2312" w:cs="Times New Roman"/>
          <w:b/>
          <w:bCs/>
          <w:color w:val="000000"/>
          <w:sz w:val="32"/>
          <w:szCs w:val="32"/>
        </w:rPr>
        <w:t>支持智能终端与装备的研发和推广应用</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对被</w:t>
      </w:r>
      <w:r>
        <w:rPr>
          <w:rFonts w:hint="default" w:ascii="Times New Roman" w:hAnsi="Times New Roman" w:eastAsia="仿宋_GB2312" w:cs="Times New Roman"/>
          <w:b w:val="0"/>
          <w:bCs w:val="0"/>
          <w:color w:val="000000"/>
          <w:sz w:val="32"/>
          <w:szCs w:val="32"/>
          <w:lang w:eastAsia="zh-CN"/>
        </w:rPr>
        <w:t>认定为国际、国内、省内首台（套）</w:t>
      </w:r>
      <w:r>
        <w:rPr>
          <w:rFonts w:hint="default" w:ascii="Times New Roman" w:hAnsi="Times New Roman" w:eastAsia="仿宋_GB2312" w:cs="Times New Roman"/>
          <w:b w:val="0"/>
          <w:bCs w:val="0"/>
          <w:color w:val="000000"/>
          <w:sz w:val="32"/>
          <w:szCs w:val="32"/>
        </w:rPr>
        <w:t>智能终端与装备</w:t>
      </w:r>
      <w:r>
        <w:rPr>
          <w:rFonts w:hint="default" w:ascii="Times New Roman" w:hAnsi="Times New Roman" w:eastAsia="仿宋_GB2312" w:cs="Times New Roman"/>
          <w:b w:val="0"/>
          <w:bCs w:val="0"/>
          <w:color w:val="000000"/>
          <w:sz w:val="32"/>
          <w:szCs w:val="32"/>
          <w:lang w:eastAsia="zh-CN"/>
        </w:rPr>
        <w:t>的</w:t>
      </w:r>
      <w:r>
        <w:rPr>
          <w:rFonts w:hint="default" w:ascii="Times New Roman" w:hAnsi="Times New Roman" w:eastAsia="仿宋_GB2312" w:cs="Times New Roman"/>
          <w:b w:val="0"/>
          <w:bCs w:val="0"/>
          <w:color w:val="000000"/>
          <w:sz w:val="32"/>
          <w:szCs w:val="32"/>
          <w:lang w:val="en-US" w:eastAsia="zh-CN"/>
        </w:rPr>
        <w:t>研发企业</w:t>
      </w:r>
      <w:r>
        <w:rPr>
          <w:rFonts w:hint="default" w:ascii="Times New Roman" w:hAnsi="Times New Roman" w:eastAsia="仿宋_GB2312" w:cs="Times New Roman"/>
          <w:b w:val="0"/>
          <w:bCs w:val="0"/>
          <w:color w:val="000000"/>
          <w:sz w:val="32"/>
          <w:szCs w:val="32"/>
          <w:lang w:eastAsia="zh-CN"/>
        </w:rPr>
        <w:t>，分别奖励200万元、100万元、50万元。</w:t>
      </w:r>
      <w:r>
        <w:rPr>
          <w:rFonts w:hint="default" w:ascii="Times New Roman" w:hAnsi="Times New Roman" w:eastAsia="仿宋_GB2312" w:cs="Times New Roman"/>
          <w:color w:val="000000"/>
          <w:sz w:val="32"/>
          <w:szCs w:val="32"/>
          <w:lang w:eastAsia="zh-CN"/>
        </w:rPr>
        <w:t>具体按照</w:t>
      </w:r>
      <w:r>
        <w:rPr>
          <w:rFonts w:hint="default" w:ascii="Times New Roman" w:hAnsi="Times New Roman" w:eastAsia="仿宋_GB2312" w:cs="Times New Roman"/>
          <w:b w:val="0"/>
          <w:bCs w:val="0"/>
          <w:color w:val="000000"/>
          <w:sz w:val="32"/>
          <w:szCs w:val="32"/>
          <w:highlight w:val="none"/>
          <w:u w:val="none"/>
          <w:lang w:eastAsia="zh-CN"/>
        </w:rPr>
        <w:t>《温州市人民政府关于印发2025年温州市级产业政策的通知》</w:t>
      </w:r>
      <w:r>
        <w:rPr>
          <w:rFonts w:hint="default" w:ascii="Times New Roman" w:hAnsi="Times New Roman" w:eastAsia="仿宋_GB2312" w:cs="Times New Roman"/>
          <w:color w:val="000000"/>
          <w:sz w:val="32"/>
          <w:szCs w:val="32"/>
          <w:highlight w:val="none"/>
          <w:u w:val="none"/>
          <w:lang w:eastAsia="zh-CN"/>
        </w:rPr>
        <w:t>（温政发</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2025</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8号文件</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b w:val="0"/>
          <w:bCs w:val="0"/>
          <w:color w:val="000000"/>
          <w:sz w:val="32"/>
          <w:szCs w:val="32"/>
          <w:highlight w:val="none"/>
          <w:u w:val="none"/>
          <w:lang w:val="en-US" w:eastAsia="zh-CN"/>
        </w:rPr>
        <w:t>第8条</w:t>
      </w:r>
      <w:r>
        <w:rPr>
          <w:rFonts w:hint="default" w:ascii="Times New Roman" w:hAnsi="Times New Roman" w:eastAsia="仿宋_GB2312" w:cs="Times New Roman"/>
          <w:b w:val="0"/>
          <w:bCs w:val="0"/>
          <w:color w:val="000000"/>
          <w:sz w:val="32"/>
          <w:szCs w:val="32"/>
          <w:u w:val="none"/>
          <w:lang w:val="en-US" w:eastAsia="zh-CN"/>
        </w:rPr>
        <w:t>相关规定执行。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责任单位：</w:t>
      </w:r>
      <w:r>
        <w:rPr>
          <w:rFonts w:hint="default" w:ascii="Times New Roman" w:hAnsi="Times New Roman" w:eastAsia="仿宋_GB2312" w:cs="Times New Roman"/>
          <w:b w:val="0"/>
          <w:bCs w:val="0"/>
          <w:color w:val="000000"/>
          <w:sz w:val="32"/>
          <w:szCs w:val="32"/>
          <w:lang w:val="en-US" w:eastAsia="zh-CN"/>
        </w:rPr>
        <w:t>市经信局</w:t>
      </w:r>
      <w:r>
        <w:rPr>
          <w:rFonts w:hint="default" w:ascii="Times New Roman" w:hAnsi="Times New Roman" w:eastAsia="仿宋_GB2312" w:cs="Times New Roman"/>
          <w:b w:val="0"/>
          <w:bCs w:val="0"/>
          <w:color w:val="000000"/>
          <w:sz w:val="32"/>
          <w:szCs w:val="32"/>
          <w:lang w:eastAsia="zh-CN"/>
        </w:rPr>
        <w:t>）</w:t>
      </w:r>
    </w:p>
    <w:p w14:paraId="16BE9EA0">
      <w:pPr>
        <w:keepNext w:val="0"/>
        <w:keepLines w:val="0"/>
        <w:pageBreakBefore w:val="0"/>
        <w:numPr>
          <w:ilvl w:val="-1"/>
          <w:numId w:val="0"/>
        </w:numPr>
        <w:kinsoku/>
        <w:wordWrap/>
        <w:overflowPunct/>
        <w:topLinePunct w:val="0"/>
        <w:autoSpaceDE/>
        <w:autoSpaceDN/>
        <w:bidi w:val="0"/>
        <w:adjustRightInd/>
        <w:snapToGrid/>
        <w:spacing w:before="0" w:after="0" w:line="560" w:lineRule="exact"/>
        <w:ind w:left="0" w:firstLine="643"/>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（八）支持人工智能领域概念验证中心</w:t>
      </w:r>
      <w:r>
        <w:rPr>
          <w:rFonts w:hint="default" w:ascii="Times New Roman" w:hAnsi="Times New Roman" w:eastAsia="仿宋_GB2312" w:cs="Times New Roman"/>
          <w:b/>
          <w:bCs/>
          <w:color w:val="000000"/>
          <w:sz w:val="32"/>
          <w:szCs w:val="32"/>
          <w:lang w:val="en" w:eastAsia="zh-CN"/>
        </w:rPr>
        <w:t>和中试平台</w:t>
      </w:r>
      <w:r>
        <w:rPr>
          <w:rFonts w:hint="default" w:ascii="Times New Roman" w:hAnsi="Times New Roman" w:eastAsia="仿宋_GB2312" w:cs="Times New Roman"/>
          <w:b/>
          <w:bCs/>
          <w:color w:val="000000"/>
          <w:sz w:val="32"/>
          <w:szCs w:val="32"/>
          <w:lang w:val="en-US" w:eastAsia="zh-CN"/>
        </w:rPr>
        <w:t>建设。</w:t>
      </w:r>
      <w:r>
        <w:rPr>
          <w:rFonts w:hint="default" w:ascii="Times New Roman" w:hAnsi="Times New Roman" w:eastAsia="仿宋_GB2312" w:cs="Times New Roman"/>
          <w:b w:val="0"/>
          <w:bCs w:val="0"/>
          <w:color w:val="000000"/>
          <w:sz w:val="32"/>
          <w:szCs w:val="32"/>
          <w:lang w:val="en-US" w:eastAsia="zh-CN"/>
        </w:rPr>
        <w:t>对列入创建并经备案的市级人工智能领域概念认证中心，予以奖补100万元；对获批省级概念验证中心的，再予以奖励100万元。对新认定的省级</w:t>
      </w:r>
      <w:r>
        <w:rPr>
          <w:rFonts w:hint="default" w:ascii="Times New Roman" w:hAnsi="Times New Roman" w:eastAsia="仿宋_GB2312" w:cs="Times New Roman"/>
          <w:b w:val="0"/>
          <w:bCs w:val="0"/>
          <w:color w:val="000000"/>
          <w:sz w:val="32"/>
          <w:szCs w:val="32"/>
          <w:lang w:val="en" w:eastAsia="zh-CN"/>
        </w:rPr>
        <w:t>人工智能领域</w:t>
      </w:r>
      <w:r>
        <w:rPr>
          <w:rFonts w:hint="default" w:ascii="Times New Roman" w:hAnsi="Times New Roman" w:eastAsia="仿宋_GB2312" w:cs="Times New Roman"/>
          <w:b w:val="0"/>
          <w:bCs w:val="0"/>
          <w:color w:val="000000"/>
          <w:sz w:val="32"/>
          <w:szCs w:val="32"/>
          <w:lang w:val="en-US" w:eastAsia="zh-CN"/>
        </w:rPr>
        <w:t>制造业中试平台，予以奖励50万</w:t>
      </w:r>
      <w:r>
        <w:rPr>
          <w:rFonts w:hint="default" w:ascii="Times New Roman" w:hAnsi="Times New Roman" w:eastAsia="仿宋_GB2312" w:cs="Times New Roman"/>
          <w:color w:val="000000"/>
          <w:sz w:val="32"/>
          <w:szCs w:val="32"/>
          <w:lang w:val="en-US" w:eastAsia="zh-CN"/>
        </w:rPr>
        <w:t>元。</w:t>
      </w:r>
      <w:r>
        <w:rPr>
          <w:rFonts w:hint="default" w:ascii="Times New Roman" w:hAnsi="Times New Roman" w:eastAsia="仿宋_GB2312" w:cs="Times New Roman"/>
          <w:color w:val="000000"/>
          <w:sz w:val="32"/>
          <w:szCs w:val="32"/>
          <w:lang w:val="en" w:eastAsia="zh-CN"/>
        </w:rPr>
        <w:t>中试平台</w:t>
      </w:r>
      <w:r>
        <w:rPr>
          <w:rFonts w:hint="default" w:ascii="Times New Roman" w:hAnsi="Times New Roman" w:eastAsia="仿宋_GB2312" w:cs="Times New Roman"/>
          <w:color w:val="000000"/>
          <w:sz w:val="32"/>
          <w:szCs w:val="32"/>
          <w:lang w:val="en-US" w:eastAsia="zh-CN"/>
        </w:rPr>
        <w:t>奖补具体按照《温州市人民政府关于印发2025年温州市级产业政策的通知》</w:t>
      </w:r>
      <w:r>
        <w:rPr>
          <w:rFonts w:hint="default" w:ascii="Times New Roman" w:hAnsi="Times New Roman" w:eastAsia="仿宋_GB2312" w:cs="Times New Roman"/>
          <w:color w:val="000000"/>
          <w:sz w:val="32"/>
          <w:szCs w:val="32"/>
          <w:highlight w:val="none"/>
          <w:u w:val="none"/>
          <w:lang w:eastAsia="zh-CN"/>
        </w:rPr>
        <w:t>（温政发</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2025</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8号文件</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b w:val="0"/>
          <w:bCs w:val="0"/>
          <w:color w:val="000000"/>
          <w:sz w:val="32"/>
          <w:szCs w:val="32"/>
          <w:lang w:val="en-US" w:eastAsia="zh-CN"/>
        </w:rPr>
        <w:t>第</w:t>
      </w:r>
      <w:r>
        <w:rPr>
          <w:rFonts w:hint="default" w:ascii="Times New Roman" w:hAnsi="Times New Roman" w:eastAsia="仿宋_GB2312" w:cs="Times New Roman"/>
          <w:b w:val="0"/>
          <w:bCs w:val="0"/>
          <w:color w:val="000000"/>
          <w:sz w:val="32"/>
          <w:szCs w:val="32"/>
          <w:lang w:val="en" w:eastAsia="zh-CN"/>
        </w:rPr>
        <w:t>12</w:t>
      </w:r>
      <w:r>
        <w:rPr>
          <w:rFonts w:hint="default" w:ascii="Times New Roman" w:hAnsi="Times New Roman" w:eastAsia="仿宋_GB2312" w:cs="Times New Roman"/>
          <w:b w:val="0"/>
          <w:bCs w:val="0"/>
          <w:color w:val="000000"/>
          <w:sz w:val="32"/>
          <w:szCs w:val="32"/>
          <w:lang w:val="en-US" w:eastAsia="zh-CN"/>
        </w:rPr>
        <w:t>条相关规定</w:t>
      </w:r>
      <w:r>
        <w:rPr>
          <w:rFonts w:hint="default" w:ascii="Times New Roman" w:hAnsi="Times New Roman" w:cs="Times New Roman"/>
          <w:b w:val="0"/>
          <w:bCs w:val="0"/>
          <w:color w:val="000000"/>
          <w:sz w:val="32"/>
          <w:szCs w:val="32"/>
          <w:lang w:val="en-US" w:eastAsia="zh-CN"/>
        </w:rPr>
        <w:t>执行</w:t>
      </w:r>
      <w:r>
        <w:rPr>
          <w:rFonts w:hint="default" w:ascii="Times New Roman" w:hAnsi="Times New Roman" w:eastAsia="仿宋_GB2312" w:cs="Times New Roman"/>
          <w:b w:val="0"/>
          <w:bCs w:val="0"/>
          <w:color w:val="000000"/>
          <w:sz w:val="32"/>
          <w:szCs w:val="32"/>
          <w:lang w:val="en-US" w:eastAsia="zh-CN"/>
        </w:rPr>
        <w:t>。（责任单位：</w:t>
      </w:r>
      <w:r>
        <w:rPr>
          <w:rFonts w:hint="default" w:ascii="Times New Roman" w:hAnsi="Times New Roman" w:eastAsia="仿宋_GB2312" w:cs="Times New Roman"/>
          <w:b w:val="0"/>
          <w:bCs w:val="0"/>
          <w:color w:val="000000"/>
          <w:sz w:val="32"/>
          <w:szCs w:val="32"/>
          <w:lang w:val="en" w:eastAsia="zh-CN"/>
        </w:rPr>
        <w:t>市经信局、</w:t>
      </w:r>
      <w:r>
        <w:rPr>
          <w:rFonts w:hint="default" w:ascii="Times New Roman" w:hAnsi="Times New Roman" w:eastAsia="仿宋_GB2312" w:cs="Times New Roman"/>
          <w:b w:val="0"/>
          <w:bCs w:val="0"/>
          <w:color w:val="000000"/>
          <w:sz w:val="32"/>
          <w:szCs w:val="32"/>
          <w:lang w:val="en-US" w:eastAsia="zh-CN"/>
        </w:rPr>
        <w:t>市科技局）</w:t>
      </w:r>
    </w:p>
    <w:p w14:paraId="538B9789">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643" w:firstLineChars="200"/>
        <w:jc w:val="left"/>
        <w:textAlignment w:val="auto"/>
        <w:outlineLvl w:val="0"/>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三、激活创新要素，优化发展环境</w:t>
      </w:r>
    </w:p>
    <w:p w14:paraId="07A6DDCF">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643" w:firstLineChars="200"/>
        <w:jc w:val="left"/>
        <w:textAlignment w:val="auto"/>
        <w:outlineLvl w:val="1"/>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（九）支持企业做优做强</w:t>
      </w:r>
      <w:r>
        <w:rPr>
          <w:rFonts w:hint="default" w:ascii="Times New Roman" w:hAnsi="Times New Roman" w:eastAsia="仿宋_GB2312" w:cs="Times New Roman"/>
          <w:color w:val="000000"/>
          <w:sz w:val="32"/>
          <w:szCs w:val="32"/>
          <w:lang w:val="en-US" w:eastAsia="zh-CN"/>
        </w:rPr>
        <w:t>。对人工智能领域首次认定为国家制造业单项冠军企业、国家级专精特新“小巨人”企业、省级“隐形冠军”企业、省级“专精特新”中小企业，分别给予不超过200万元、100万元、50万元、10万元的奖励。具体按照《温州市人民政府关于印发2025年温州市级产业政策的通知》</w:t>
      </w:r>
      <w:r>
        <w:rPr>
          <w:rFonts w:hint="default" w:ascii="Times New Roman" w:hAnsi="Times New Roman" w:eastAsia="仿宋_GB2312" w:cs="Times New Roman"/>
          <w:color w:val="000000"/>
          <w:sz w:val="32"/>
          <w:szCs w:val="32"/>
          <w:highlight w:val="none"/>
          <w:u w:val="none"/>
          <w:lang w:eastAsia="zh-CN"/>
        </w:rPr>
        <w:t>（温政发</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2025</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8号文件</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lang w:val="en-US" w:eastAsia="zh-CN"/>
        </w:rPr>
        <w:t>第21条相关规定执行。（责任单位：市经信局）</w:t>
      </w:r>
    </w:p>
    <w:p w14:paraId="402C2BE2">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firstLine="643" w:firstLineChars="200"/>
        <w:jc w:val="left"/>
        <w:textAlignment w:val="auto"/>
        <w:outlineLvl w:val="1"/>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（十）加速人工智能人才集聚。</w:t>
      </w:r>
      <w:r>
        <w:rPr>
          <w:rFonts w:hint="default" w:ascii="Times New Roman" w:hAnsi="Times New Roman" w:eastAsia="仿宋_GB2312" w:cs="Times New Roman"/>
          <w:color w:val="000000"/>
          <w:sz w:val="32"/>
          <w:szCs w:val="32"/>
          <w:lang w:val="en-US" w:eastAsia="zh-CN"/>
        </w:rPr>
        <w:t>面向全球引进人工智能等领域的顶尖人才，设立“瓯越英才计划”A类引才项目，“一人一策”给予最高1亿元综合支持。支持人工智能领域的海外高层次人才和国内领军人才申报“瓯越英才计划”引才项目，入选后给予最高200万元个人奖励。具体按照《中共温州市委人才工作领导小组关于印发&lt;大力实施“瓯越英才计划”加快建设创新温州的40条意见&gt;的通知》（温委人</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2025</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1号文件）相关规定执行。（责任单位：市委组织部&lt;市委人才办&gt;、市数据局）</w:t>
      </w:r>
    </w:p>
    <w:p w14:paraId="6FDB5196">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643" w:firstLineChars="200"/>
        <w:jc w:val="left"/>
        <w:textAlignment w:val="auto"/>
        <w:outlineLvl w:val="1"/>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（十一）支持人工智能人才创业。</w:t>
      </w:r>
      <w:r>
        <w:rPr>
          <w:rFonts w:hint="default" w:ascii="Times New Roman" w:hAnsi="Times New Roman" w:eastAsia="仿宋_GB2312" w:cs="Times New Roman"/>
          <w:b w:val="0"/>
          <w:bCs w:val="0"/>
          <w:color w:val="000000"/>
          <w:sz w:val="32"/>
          <w:szCs w:val="32"/>
          <w:lang w:val="en-US" w:eastAsia="zh-CN"/>
        </w:rPr>
        <w:t>支持人工智能领域创业人才发展，对入选“瓯越英才计划”的，按规定给予30万-3000万元的启动资金、研发投入补助等综合支持。对入选浙江省领军型创业团队的，给予500万元团队建设资助。</w:t>
      </w:r>
      <w:r>
        <w:rPr>
          <w:rFonts w:hint="default" w:ascii="Times New Roman" w:hAnsi="Times New Roman" w:eastAsia="仿宋_GB2312" w:cs="Times New Roman"/>
          <w:color w:val="000000"/>
          <w:sz w:val="32"/>
          <w:szCs w:val="32"/>
          <w:lang w:val="en-US" w:eastAsia="zh-CN"/>
        </w:rPr>
        <w:t>具体按照《中共温州市委人才工作领导小组关于印发&lt;大力实施“瓯越英才计划”加快建设创新温州的40条意见&gt;的通知》（温委人</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2025</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1号文件）第6条相关规定执行</w:t>
      </w:r>
      <w:r>
        <w:rPr>
          <w:rFonts w:hint="default" w:ascii="Times New Roman" w:hAnsi="Times New Roman" w:eastAsia="仿宋_GB2312" w:cs="Times New Roman"/>
          <w:b w:val="0"/>
          <w:bCs w:val="0"/>
          <w:color w:val="000000"/>
          <w:sz w:val="32"/>
          <w:szCs w:val="32"/>
          <w:lang w:val="en-US" w:eastAsia="zh-CN"/>
        </w:rPr>
        <w:t>。（责任单位：市委组织部&lt;市委人才办&gt;、市数据局）</w:t>
      </w:r>
    </w:p>
    <w:p w14:paraId="3F6CEE7F">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643" w:firstLineChars="200"/>
        <w:jc w:val="left"/>
        <w:textAlignment w:val="auto"/>
        <w:outlineLvl w:val="1"/>
        <w:rPr>
          <w:rFonts w:hint="default" w:ascii="Times New Roman" w:hAnsi="Times New Roman" w:eastAsia="等线" w:cs="Times New Roman"/>
          <w:sz w:val="22"/>
          <w:szCs w:val="22"/>
        </w:rPr>
      </w:pPr>
      <w:r>
        <w:rPr>
          <w:rFonts w:hint="default" w:ascii="Times New Roman" w:hAnsi="Times New Roman" w:eastAsia="仿宋_GB2312" w:cs="Times New Roman"/>
          <w:b/>
          <w:bCs/>
          <w:color w:val="000000"/>
          <w:kern w:val="0"/>
          <w:sz w:val="32"/>
          <w:szCs w:val="32"/>
          <w:lang w:val="en-US" w:eastAsia="zh-CN" w:bidi="ar"/>
        </w:rPr>
        <w:t>（十二）加强对人工智能领域的金融保障。</w:t>
      </w:r>
      <w:r>
        <w:rPr>
          <w:rFonts w:hint="default" w:ascii="Times New Roman" w:hAnsi="Times New Roman" w:eastAsia="仿宋_GB2312" w:cs="Times New Roman"/>
          <w:b w:val="0"/>
          <w:bCs w:val="0"/>
          <w:color w:val="000000"/>
          <w:kern w:val="0"/>
          <w:sz w:val="32"/>
          <w:szCs w:val="32"/>
          <w:lang w:val="en-US" w:eastAsia="zh-CN" w:bidi="ar"/>
        </w:rPr>
        <w:t>鼓励</w:t>
      </w:r>
      <w:r>
        <w:rPr>
          <w:rFonts w:hint="default" w:ascii="Times New Roman" w:hAnsi="Times New Roman" w:eastAsia="仿宋_GB2312" w:cs="Times New Roman"/>
          <w:bCs w:val="0"/>
          <w:color w:val="000000"/>
          <w:kern w:val="0"/>
          <w:sz w:val="32"/>
          <w:szCs w:val="32"/>
          <w:lang w:val="en-US" w:eastAsia="zh-CN" w:bidi="ar"/>
        </w:rPr>
        <w:t>金融机构加大对人工智能产业的贷款支持，用好科技创新和技术改造再贷款等政策工具，对符合要求的贷款给予1.5%贴息支持。</w:t>
      </w:r>
      <w:r>
        <w:rPr>
          <w:rFonts w:hint="default" w:ascii="Times New Roman" w:hAnsi="Times New Roman" w:eastAsia="仿宋_GB2312" w:cs="Times New Roman"/>
          <w:color w:val="000000"/>
          <w:sz w:val="32"/>
          <w:szCs w:val="32"/>
          <w:lang w:val="en-US" w:eastAsia="zh-CN"/>
        </w:rPr>
        <w:t>具体按照</w:t>
      </w:r>
      <w:r>
        <w:rPr>
          <w:rFonts w:hint="default" w:ascii="Times New Roman" w:hAnsi="Times New Roman" w:eastAsia="仿宋_GB2312" w:cs="Times New Roman"/>
          <w:bCs w:val="0"/>
          <w:color w:val="000000"/>
          <w:kern w:val="0"/>
          <w:sz w:val="32"/>
          <w:szCs w:val="32"/>
          <w:lang w:val="en-US" w:eastAsia="zh-CN" w:bidi="ar"/>
        </w:rPr>
        <w:t>《浙江省财政厅等7部门关于做好设备更新贷款财政贴息工作的通知》（浙财金</w:t>
      </w:r>
      <w:r>
        <w:rPr>
          <w:rFonts w:hint="default" w:ascii="Times New Roman" w:hAnsi="Times New Roman" w:cs="Times New Roman"/>
          <w:bCs w:val="0"/>
          <w:color w:val="000000"/>
          <w:kern w:val="0"/>
          <w:sz w:val="32"/>
          <w:szCs w:val="32"/>
          <w:lang w:val="en-US" w:eastAsia="zh-CN" w:bidi="ar"/>
        </w:rPr>
        <w:t>〔</w:t>
      </w:r>
      <w:r>
        <w:rPr>
          <w:rFonts w:hint="default" w:ascii="Times New Roman" w:hAnsi="Times New Roman" w:eastAsia="仿宋_GB2312" w:cs="Times New Roman"/>
          <w:bCs w:val="0"/>
          <w:color w:val="000000"/>
          <w:kern w:val="0"/>
          <w:sz w:val="32"/>
          <w:szCs w:val="32"/>
          <w:lang w:val="en-US" w:eastAsia="zh-CN" w:bidi="ar"/>
        </w:rPr>
        <w:t>2024</w:t>
      </w:r>
      <w:r>
        <w:rPr>
          <w:rFonts w:hint="default" w:ascii="Times New Roman" w:hAnsi="Times New Roman" w:cs="Times New Roman"/>
          <w:bCs w:val="0"/>
          <w:color w:val="000000"/>
          <w:kern w:val="0"/>
          <w:sz w:val="32"/>
          <w:szCs w:val="32"/>
          <w:lang w:val="en-US" w:eastAsia="zh-CN" w:bidi="ar"/>
        </w:rPr>
        <w:t>〕</w:t>
      </w:r>
      <w:r>
        <w:rPr>
          <w:rFonts w:hint="default" w:ascii="Times New Roman" w:hAnsi="Times New Roman" w:eastAsia="仿宋_GB2312" w:cs="Times New Roman"/>
          <w:bCs w:val="0"/>
          <w:color w:val="000000"/>
          <w:kern w:val="0"/>
          <w:sz w:val="32"/>
          <w:szCs w:val="32"/>
          <w:lang w:val="en-US" w:eastAsia="zh-CN" w:bidi="ar"/>
        </w:rPr>
        <w:t>40号文件）等相关规定执行。（责任单位：人民银行温州市分行、市财政局）</w:t>
      </w:r>
    </w:p>
    <w:p w14:paraId="0D5835F2">
      <w:pPr>
        <w:keepNext w:val="0"/>
        <w:keepLines w:val="0"/>
        <w:pageBreakBefore w:val="0"/>
        <w:numPr>
          <w:ilvl w:val="0"/>
          <w:numId w:val="0"/>
        </w:numPr>
        <w:kinsoku/>
        <w:wordWrap w:val="0"/>
        <w:overflowPunct/>
        <w:topLinePunct w:val="0"/>
        <w:autoSpaceDE/>
        <w:autoSpaceDN/>
        <w:bidi w:val="0"/>
        <w:adjustRightInd/>
        <w:snapToGrid/>
        <w:spacing w:before="0" w:after="0" w:line="560" w:lineRule="exact"/>
        <w:ind w:left="0" w:firstLine="640" w:firstLineChars="200"/>
        <w:jc w:val="right"/>
        <w:textAlignment w:val="auto"/>
        <w:outlineLvl w:val="1"/>
        <w:rPr>
          <w:rFonts w:hint="default" w:ascii="Times New Roman" w:hAnsi="Times New Roman" w:eastAsia="仿宋_GB2312" w:cs="Times New Roman"/>
          <w:bCs w:val="0"/>
          <w:color w:val="000000"/>
          <w:kern w:val="0"/>
          <w:sz w:val="32"/>
          <w:szCs w:val="32"/>
          <w:lang w:val="en-US" w:eastAsia="zh-CN" w:bidi="ar"/>
        </w:rPr>
      </w:pPr>
    </w:p>
    <w:p w14:paraId="182E29A6">
      <w:pPr>
        <w:keepNext w:val="0"/>
        <w:keepLines w:val="0"/>
        <w:pageBreakBefore w:val="0"/>
        <w:numPr>
          <w:ilvl w:val="0"/>
          <w:numId w:val="0"/>
        </w:numPr>
        <w:kinsoku/>
        <w:wordWrap w:val="0"/>
        <w:overflowPunct/>
        <w:topLinePunct w:val="0"/>
        <w:autoSpaceDE/>
        <w:autoSpaceDN/>
        <w:bidi w:val="0"/>
        <w:adjustRightInd/>
        <w:snapToGrid/>
        <w:spacing w:before="0" w:after="0" w:line="560" w:lineRule="exact"/>
        <w:ind w:left="0" w:firstLine="640" w:firstLineChars="200"/>
        <w:jc w:val="right"/>
        <w:textAlignment w:val="auto"/>
        <w:outlineLvl w:val="1"/>
        <w:rPr>
          <w:rFonts w:hint="default" w:ascii="Times New Roman" w:hAnsi="Times New Roman" w:eastAsia="仿宋_GB2312" w:cs="Times New Roman"/>
          <w:bCs w:val="0"/>
          <w:color w:val="000000"/>
          <w:kern w:val="0"/>
          <w:sz w:val="32"/>
          <w:szCs w:val="32"/>
          <w:lang w:val="en-US" w:eastAsia="zh-CN" w:bidi="ar"/>
        </w:rPr>
      </w:pPr>
      <w:r>
        <w:rPr>
          <w:rFonts w:hint="default" w:ascii="Times New Roman" w:hAnsi="Times New Roman" w:eastAsia="仿宋_GB2312" w:cs="Times New Roman"/>
          <w:bCs w:val="0"/>
          <w:color w:val="000000"/>
          <w:kern w:val="0"/>
          <w:sz w:val="32"/>
          <w:szCs w:val="32"/>
          <w:lang w:val="en-US" w:eastAsia="zh-CN" w:bidi="ar"/>
        </w:rPr>
        <w:t>2025年8月21日</w:t>
      </w:r>
    </w:p>
    <w:p w14:paraId="69CE2348">
      <w:pPr>
        <w:rPr>
          <w:rFonts w:hint="default" w:ascii="Times New Roman" w:hAnsi="Times New Roman" w:cs="Times New Roman"/>
        </w:rPr>
      </w:pPr>
    </w:p>
    <w:p w14:paraId="48EAEE08">
      <w:pPr>
        <w:rPr>
          <w:rFonts w:hint="default" w:ascii="Times New Roman" w:hAnsi="Times New Roman" w:cs="Times New Roman"/>
        </w:rPr>
      </w:pPr>
    </w:p>
    <w:p w14:paraId="5F3AA2B3">
      <w:pPr>
        <w:rPr>
          <w:rFonts w:hint="default" w:ascii="Times New Roman" w:hAnsi="Times New Roman" w:cs="Times New Roman"/>
        </w:rPr>
      </w:pPr>
    </w:p>
    <w:p w14:paraId="16D9ECD3">
      <w:pPr>
        <w:rPr>
          <w:rFonts w:hint="default" w:ascii="Times New Roman" w:hAnsi="Times New Roman" w:cs="Times New Roman"/>
        </w:rPr>
      </w:pPr>
    </w:p>
    <w:p w14:paraId="3E9286BD">
      <w:pPr>
        <w:rPr>
          <w:rFonts w:hint="default" w:ascii="Times New Roman" w:hAnsi="Times New Roman" w:cs="Times New Roman"/>
        </w:rPr>
      </w:pPr>
    </w:p>
    <w:p w14:paraId="31779243">
      <w:pPr>
        <w:rPr>
          <w:rFonts w:hint="default" w:ascii="Times New Roman" w:hAnsi="Times New Roman" w:cs="Times New Roman"/>
        </w:rPr>
      </w:pPr>
    </w:p>
    <w:p w14:paraId="5E125FC1">
      <w:pPr>
        <w:rPr>
          <w:rFonts w:hint="default" w:ascii="Times New Roman" w:hAnsi="Times New Roman" w:cs="Times New Roman"/>
        </w:rPr>
      </w:pPr>
    </w:p>
    <w:p w14:paraId="121475C4">
      <w:pPr>
        <w:rPr>
          <w:rFonts w:hint="default" w:ascii="Times New Roman" w:hAnsi="Times New Roman" w:cs="Times New Roman"/>
        </w:rPr>
      </w:pPr>
    </w:p>
    <w:p w14:paraId="4AA724C5">
      <w:pPr>
        <w:rPr>
          <w:rFonts w:hint="default" w:ascii="Times New Roman" w:hAnsi="Times New Roman" w:cs="Times New Roman"/>
        </w:rPr>
      </w:pPr>
    </w:p>
    <w:p w14:paraId="4881368B">
      <w:pPr>
        <w:rPr>
          <w:rFonts w:hint="default" w:ascii="Times New Roman" w:hAnsi="Times New Roman" w:cs="Times New Roman"/>
        </w:rPr>
      </w:pPr>
    </w:p>
    <w:p w14:paraId="0246E58E">
      <w:pPr>
        <w:rPr>
          <w:rFonts w:hint="default" w:ascii="Times New Roman" w:hAnsi="Times New Roman" w:cs="Times New Roman"/>
        </w:rPr>
      </w:pPr>
    </w:p>
    <w:p w14:paraId="3D920237">
      <w:pPr>
        <w:rPr>
          <w:rFonts w:hint="default" w:ascii="Times New Roman" w:hAnsi="Times New Roman" w:cs="Times New Roman"/>
        </w:rPr>
      </w:pPr>
    </w:p>
    <w:p w14:paraId="5970EDCD">
      <w:pPr>
        <w:rPr>
          <w:rFonts w:hint="default" w:ascii="Times New Roman" w:hAnsi="Times New Roman" w:cs="Times New Roman"/>
        </w:rPr>
      </w:pPr>
    </w:p>
    <w:p w14:paraId="7EC41187">
      <w:pPr>
        <w:rPr>
          <w:rFonts w:hint="default" w:ascii="Times New Roman" w:hAnsi="Times New Roman" w:cs="Times New Roman"/>
        </w:rPr>
      </w:pPr>
    </w:p>
    <w:p w14:paraId="2DC9B713">
      <w:pPr>
        <w:rPr>
          <w:rFonts w:hint="default" w:ascii="Times New Roman" w:hAnsi="Times New Roman" w:cs="Times New Roman"/>
        </w:rPr>
      </w:pPr>
    </w:p>
    <w:p w14:paraId="3D7E4C6A">
      <w:pPr>
        <w:rPr>
          <w:rFonts w:hint="default" w:ascii="Times New Roman" w:hAnsi="Times New Roman" w:cs="Times New Roman"/>
        </w:rPr>
      </w:pPr>
    </w:p>
    <w:p w14:paraId="4BDE6713">
      <w:pPr>
        <w:rPr>
          <w:rFonts w:hint="default" w:ascii="Times New Roman" w:hAnsi="Times New Roman" w:cs="Times New Roman"/>
        </w:rPr>
      </w:pPr>
    </w:p>
    <w:p w14:paraId="44CF81F7">
      <w:pPr>
        <w:rPr>
          <w:rFonts w:hint="default" w:ascii="Times New Roman" w:hAnsi="Times New Roman" w:cs="Times New Roman"/>
        </w:rPr>
      </w:pPr>
    </w:p>
    <w:p w14:paraId="26D264E5">
      <w:pPr>
        <w:rPr>
          <w:rFonts w:hint="default" w:ascii="Times New Roman" w:hAnsi="Times New Roman" w:cs="Times New Roman"/>
        </w:rPr>
      </w:pPr>
    </w:p>
    <w:p w14:paraId="2ECF1FDA">
      <w:pPr>
        <w:rPr>
          <w:rFonts w:hint="default" w:ascii="Times New Roman" w:hAnsi="Times New Roman" w:cs="Times New Roman"/>
        </w:rPr>
      </w:pPr>
    </w:p>
    <w:p w14:paraId="542AC65A">
      <w:pPr>
        <w:keepNext w:val="0"/>
        <w:keepLines w:val="0"/>
        <w:pageBreakBefore w:val="0"/>
        <w:numPr>
          <w:ilvl w:val="0"/>
          <w:numId w:val="0"/>
        </w:numPr>
        <w:kinsoku/>
        <w:wordWrap/>
        <w:overflowPunct/>
        <w:topLinePunct w:val="0"/>
        <w:autoSpaceDE/>
        <w:autoSpaceDN/>
        <w:bidi w:val="0"/>
        <w:adjustRightInd/>
        <w:snapToGrid/>
        <w:spacing w:before="0" w:after="0" w:line="560" w:lineRule="exact"/>
        <w:jc w:val="center"/>
        <w:textAlignment w:val="auto"/>
        <w:outlineLvl w:val="1"/>
        <w:rPr>
          <w:rFonts w:hint="default" w:ascii="Times New Roman" w:hAnsi="Times New Roman" w:eastAsia="方正美黑简体" w:cs="Times New Roman"/>
          <w:bCs w:val="0"/>
          <w:color w:val="000000"/>
          <w:kern w:val="0"/>
          <w:sz w:val="44"/>
          <w:szCs w:val="44"/>
          <w:lang w:val="en-US" w:eastAsia="zh-CN" w:bidi="ar"/>
        </w:rPr>
      </w:pPr>
      <w:r>
        <w:rPr>
          <w:rFonts w:hint="default" w:ascii="Times New Roman" w:hAnsi="Times New Roman" w:eastAsia="方正美黑简体" w:cs="Times New Roman"/>
          <w:bCs w:val="0"/>
          <w:color w:val="000000"/>
          <w:kern w:val="0"/>
          <w:sz w:val="44"/>
          <w:szCs w:val="44"/>
          <w:lang w:val="en-US" w:eastAsia="zh-CN" w:bidi="ar"/>
        </w:rPr>
        <w:t>附  则</w:t>
      </w:r>
    </w:p>
    <w:p w14:paraId="7C591113">
      <w:pPr>
        <w:pStyle w:val="2"/>
        <w:rPr>
          <w:rFonts w:hint="default" w:ascii="Times New Roman" w:hAnsi="Times New Roman" w:cs="Times New Roman"/>
          <w:lang w:val="en-US" w:eastAsia="zh-CN"/>
        </w:rPr>
      </w:pPr>
    </w:p>
    <w:p w14:paraId="7F797A8A">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640" w:firstLineChars="200"/>
        <w:jc w:val="left"/>
        <w:textAlignment w:val="auto"/>
        <w:outlineLvl w:val="1"/>
        <w:rPr>
          <w:rFonts w:hint="default" w:ascii="Times New Roman" w:hAnsi="Times New Roman" w:eastAsia="仿宋_GB2312" w:cs="Times New Roman"/>
          <w:bCs w:val="0"/>
          <w:color w:val="000000"/>
          <w:kern w:val="0"/>
          <w:sz w:val="32"/>
          <w:szCs w:val="32"/>
          <w:lang w:val="en-US" w:eastAsia="zh-CN" w:bidi="ar"/>
        </w:rPr>
      </w:pPr>
      <w:r>
        <w:rPr>
          <w:rFonts w:hint="default" w:ascii="Times New Roman" w:hAnsi="Times New Roman" w:eastAsia="仿宋_GB2312" w:cs="Times New Roman"/>
          <w:bCs w:val="0"/>
          <w:color w:val="000000"/>
          <w:kern w:val="0"/>
          <w:sz w:val="32"/>
          <w:szCs w:val="32"/>
          <w:lang w:val="en-US" w:eastAsia="zh-CN" w:bidi="ar"/>
        </w:rPr>
        <w:t>1.适用对象。本政策奖补时间从2025年1月1日开始计算，适用范围原则上为市区范围，所指企业原则上为申报时依法登记在册、依法纳税并符合人工智能产业集聚发展导向的市区企业或合伙企业。</w:t>
      </w:r>
    </w:p>
    <w:p w14:paraId="454C205E">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640" w:firstLineChars="200"/>
        <w:jc w:val="left"/>
        <w:textAlignment w:val="auto"/>
        <w:outlineLvl w:val="1"/>
        <w:rPr>
          <w:rFonts w:hint="default" w:ascii="Times New Roman" w:hAnsi="Times New Roman" w:eastAsia="仿宋_GB2312" w:cs="Times New Roman"/>
          <w:bCs w:val="0"/>
          <w:color w:val="000000"/>
          <w:kern w:val="0"/>
          <w:sz w:val="32"/>
          <w:szCs w:val="32"/>
          <w:lang w:val="en-US" w:eastAsia="zh-CN" w:bidi="ar"/>
        </w:rPr>
      </w:pPr>
      <w:r>
        <w:rPr>
          <w:rFonts w:hint="default" w:ascii="Times New Roman" w:hAnsi="Times New Roman" w:eastAsia="仿宋_GB2312" w:cs="Times New Roman"/>
          <w:bCs w:val="0"/>
          <w:color w:val="000000"/>
          <w:kern w:val="0"/>
          <w:sz w:val="32"/>
          <w:szCs w:val="32"/>
          <w:lang w:val="en-US" w:eastAsia="zh-CN" w:bidi="ar"/>
        </w:rPr>
        <w:t>2.资金安排。本政策奖补资金用于支持人工智能产业集聚发展，原则上适用统一的产业政策奖补资金兑现管理办法，纳入温州市产业政策奖励系统（惠企政策“直通车”）办理，按现行财政体制分担。每条政策条款涉及两项及以上的资格定补类、数据核校类奖补资金，原则上就高执行、不重复享受。奖补资金由各区负责预算编制和全额兑现。以竞争性分配预算安排的资金，由各主管部门会同市财政局每年制定细则执行。</w:t>
      </w:r>
    </w:p>
    <w:p w14:paraId="1CB9DC24">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640" w:firstLineChars="200"/>
        <w:jc w:val="left"/>
        <w:textAlignment w:val="auto"/>
        <w:outlineLvl w:val="1"/>
        <w:rPr>
          <w:rFonts w:hint="default" w:ascii="Times New Roman" w:hAnsi="Times New Roman" w:eastAsia="仿宋_GB2312" w:cs="Times New Roman"/>
          <w:bCs w:val="0"/>
          <w:color w:val="000000"/>
          <w:kern w:val="0"/>
          <w:sz w:val="32"/>
          <w:szCs w:val="32"/>
          <w:lang w:val="en-US" w:eastAsia="zh-CN" w:bidi="ar"/>
        </w:rPr>
      </w:pPr>
      <w:r>
        <w:rPr>
          <w:rFonts w:hint="default" w:ascii="Times New Roman" w:hAnsi="Times New Roman" w:eastAsia="仿宋_GB2312" w:cs="Times New Roman"/>
          <w:bCs w:val="0"/>
          <w:color w:val="000000"/>
          <w:kern w:val="0"/>
          <w:sz w:val="32"/>
          <w:szCs w:val="32"/>
          <w:lang w:val="en-US" w:eastAsia="zh-CN" w:bidi="ar"/>
        </w:rPr>
        <w:t>3.名词解释。本政策凡涉及“首次”等表述的，均以上年度数据为准。“以上”均含本数。“总投资”指不含土地成本的固定资产投资以及外购技术软件投入。“非关联企业”指不具有法律法规规定的关联企业情形的企业。</w:t>
      </w:r>
    </w:p>
    <w:p w14:paraId="1A51C6B1">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640" w:firstLineChars="200"/>
        <w:jc w:val="left"/>
        <w:textAlignment w:val="auto"/>
        <w:outlineLvl w:val="1"/>
        <w:rPr>
          <w:rFonts w:hint="default" w:ascii="Times New Roman" w:hAnsi="Times New Roman" w:eastAsia="仿宋_GB2312" w:cs="Times New Roman"/>
          <w:bCs w:val="0"/>
          <w:color w:val="000000"/>
          <w:kern w:val="0"/>
          <w:sz w:val="32"/>
          <w:szCs w:val="32"/>
          <w:lang w:val="en-US" w:eastAsia="zh-CN" w:bidi="ar"/>
        </w:rPr>
      </w:pPr>
      <w:r>
        <w:rPr>
          <w:rFonts w:hint="default" w:ascii="Times New Roman" w:hAnsi="Times New Roman" w:eastAsia="仿宋_GB2312" w:cs="Times New Roman"/>
          <w:bCs w:val="0"/>
          <w:color w:val="000000"/>
          <w:kern w:val="0"/>
          <w:sz w:val="32"/>
          <w:szCs w:val="32"/>
          <w:lang w:val="en-US" w:eastAsia="zh-CN" w:bidi="ar"/>
        </w:rPr>
        <w:t>4.执行效力。本政策自2025年</w:t>
      </w:r>
      <w:r>
        <w:rPr>
          <w:rFonts w:hint="eastAsia" w:ascii="Times New Roman" w:hAnsi="Times New Roman" w:cs="Times New Roman"/>
          <w:bCs w:val="0"/>
          <w:color w:val="000000"/>
          <w:kern w:val="0"/>
          <w:sz w:val="32"/>
          <w:szCs w:val="32"/>
          <w:lang w:val="en-US" w:eastAsia="zh-CN" w:bidi="ar"/>
        </w:rPr>
        <w:t xml:space="preserve">  </w:t>
      </w:r>
      <w:r>
        <w:rPr>
          <w:rFonts w:hint="default" w:ascii="Times New Roman" w:hAnsi="Times New Roman" w:eastAsia="仿宋_GB2312" w:cs="Times New Roman"/>
          <w:bCs w:val="0"/>
          <w:color w:val="000000"/>
          <w:kern w:val="0"/>
          <w:sz w:val="32"/>
          <w:szCs w:val="32"/>
          <w:lang w:val="en-US" w:eastAsia="zh-CN" w:bidi="ar"/>
        </w:rPr>
        <w:t>月</w:t>
      </w:r>
      <w:r>
        <w:rPr>
          <w:rFonts w:hint="eastAsia" w:ascii="Times New Roman" w:hAnsi="Times New Roman" w:cs="Times New Roman"/>
          <w:bCs w:val="0"/>
          <w:color w:val="000000"/>
          <w:kern w:val="0"/>
          <w:sz w:val="32"/>
          <w:szCs w:val="32"/>
          <w:lang w:val="en-US" w:eastAsia="zh-CN" w:bidi="ar"/>
        </w:rPr>
        <w:t xml:space="preserve">  </w:t>
      </w:r>
      <w:r>
        <w:rPr>
          <w:rFonts w:hint="default" w:ascii="Times New Roman" w:hAnsi="Times New Roman" w:eastAsia="仿宋_GB2312" w:cs="Times New Roman"/>
          <w:bCs w:val="0"/>
          <w:color w:val="000000"/>
          <w:kern w:val="0"/>
          <w:sz w:val="32"/>
          <w:szCs w:val="32"/>
          <w:lang w:val="en-US" w:eastAsia="zh-CN" w:bidi="ar"/>
        </w:rPr>
        <w:t>日起施行，有效期至2027年12月31日，第一条、第二条、第三条申报指南及实施细则由区级人民政府组织制订，其他政策按照</w:t>
      </w:r>
      <w:r>
        <w:rPr>
          <w:rFonts w:hint="default" w:ascii="Times New Roman" w:hAnsi="Times New Roman" w:eastAsia="仿宋_GB2312" w:cs="Times New Roman"/>
          <w:color w:val="000000"/>
          <w:sz w:val="32"/>
          <w:szCs w:val="32"/>
          <w:lang w:val="en-US" w:eastAsia="zh-CN"/>
        </w:rPr>
        <w:t>《温州市人民政府关于印发2025年温州市级产业政策的通知》</w:t>
      </w:r>
      <w:r>
        <w:rPr>
          <w:rFonts w:hint="default" w:ascii="Times New Roman" w:hAnsi="Times New Roman" w:eastAsia="仿宋_GB2312" w:cs="Times New Roman"/>
          <w:color w:val="000000"/>
          <w:sz w:val="32"/>
          <w:szCs w:val="32"/>
          <w:highlight w:val="none"/>
          <w:u w:val="none"/>
          <w:lang w:eastAsia="zh-CN"/>
        </w:rPr>
        <w:t>（温政发</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2025</w:t>
      </w:r>
      <w:r>
        <w:rPr>
          <w:rFonts w:hint="default" w:ascii="Times New Roman" w:hAnsi="Times New Roman"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8号文件</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lang w:val="en-US" w:eastAsia="zh-CN"/>
        </w:rPr>
        <w:t>规定实施</w:t>
      </w:r>
      <w:r>
        <w:rPr>
          <w:rFonts w:hint="default" w:ascii="Times New Roman" w:hAnsi="Times New Roman" w:eastAsia="仿宋_GB2312" w:cs="Times New Roman"/>
          <w:bCs w:val="0"/>
          <w:color w:val="000000"/>
          <w:kern w:val="0"/>
          <w:sz w:val="32"/>
          <w:szCs w:val="32"/>
          <w:lang w:val="en-US" w:eastAsia="zh-CN" w:bidi="ar"/>
        </w:rPr>
        <w:t>。本政策由温州市人民政府负责解释，具体工作由市政府办公室商各政策执行责任单位承担。本政策施行前，已按相关程序确定支持（包括有连续年限、符合条件但未兑现完毕）的项目，按原政策兑现，除此之外新申请的奖补项目，按本政策执行。本政策施行过程中如遇上级法律法规和重大政策另有规定的，按上级有关规定和政策执行。</w:t>
      </w:r>
    </w:p>
    <w:p w14:paraId="75653F34">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firstLine="640" w:firstLineChars="200"/>
        <w:jc w:val="left"/>
        <w:textAlignment w:val="auto"/>
        <w:outlineLvl w:val="1"/>
        <w:rPr>
          <w:rFonts w:hint="default" w:ascii="Times New Roman" w:hAnsi="Times New Roman" w:eastAsia="仿宋_GB2312" w:cs="Times New Roman"/>
          <w:bCs w:val="0"/>
          <w:color w:val="000000"/>
          <w:kern w:val="0"/>
          <w:sz w:val="32"/>
          <w:szCs w:val="32"/>
          <w:lang w:val="en-US" w:eastAsia="zh-CN" w:bidi="ar"/>
        </w:rPr>
      </w:pPr>
      <w:r>
        <w:rPr>
          <w:rFonts w:hint="eastAsia" w:ascii="Times New Roman" w:hAnsi="Times New Roman" w:cs="Times New Roman"/>
          <w:bCs w:val="0"/>
          <w:color w:val="000000"/>
          <w:kern w:val="0"/>
          <w:sz w:val="32"/>
          <w:szCs w:val="32"/>
          <w:lang w:val="en-US" w:eastAsia="zh-CN" w:bidi="ar"/>
        </w:rPr>
        <w:t>5</w:t>
      </w:r>
      <w:r>
        <w:rPr>
          <w:rFonts w:hint="default" w:ascii="Times New Roman" w:hAnsi="Times New Roman" w:eastAsia="仿宋_GB2312" w:cs="Times New Roman"/>
          <w:bCs w:val="0"/>
          <w:color w:val="000000"/>
          <w:kern w:val="0"/>
          <w:sz w:val="32"/>
          <w:szCs w:val="32"/>
          <w:lang w:val="en-US" w:eastAsia="zh-CN" w:bidi="ar"/>
        </w:rPr>
        <w:t>.各县（市）可参照执行。</w:t>
      </w:r>
    </w:p>
    <w:p w14:paraId="6BA35E63">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483C8E-D008-40E2-94CE-6DC54126A8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A580210-BFFD-4F1C-9740-FE1722C2D2CA}"/>
  </w:font>
  <w:font w:name="方正大标宋_GBK">
    <w:panose1 w:val="02000000000000000000"/>
    <w:charset w:val="86"/>
    <w:family w:val="script"/>
    <w:pitch w:val="default"/>
    <w:sig w:usb0="A00002BF" w:usb1="08CF7CFA" w:usb2="00000000" w:usb3="00000000" w:csb0="00040001" w:csb1="00000000"/>
    <w:embedRegular r:id="rId3" w:fontKey="{0DA0B7AE-1CBB-4B82-91D4-7789839352B3}"/>
  </w:font>
  <w:font w:name="方正小标宋_GBK">
    <w:panose1 w:val="03000509000000000000"/>
    <w:charset w:val="86"/>
    <w:family w:val="auto"/>
    <w:pitch w:val="default"/>
    <w:sig w:usb0="00000001" w:usb1="080E0000" w:usb2="00000000" w:usb3="00000000" w:csb0="00040000" w:csb1="00000000"/>
    <w:embedRegular r:id="rId4" w:fontKey="{F603A0F5-CD5D-4C37-A79E-B77E2DF75045}"/>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5" w:fontKey="{9C948CB6-AD28-426D-984F-4A2FBFA11EF3}"/>
  </w:font>
  <w:font w:name="方正美黑简体">
    <w:altName w:val="黑体"/>
    <w:panose1 w:val="03000509000000000000"/>
    <w:charset w:val="86"/>
    <w:family w:val="auto"/>
    <w:pitch w:val="default"/>
    <w:sig w:usb0="00000000" w:usb1="00000000" w:usb2="00000000" w:usb3="00000000" w:csb0="00040000" w:csb1="00000000"/>
    <w:embedRegular r:id="rId6" w:fontKey="{32AD1F81-FB52-43FA-B56F-5714664ABF9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24852"/>
    <w:multiLevelType w:val="singleLevel"/>
    <w:tmpl w:val="92B24852"/>
    <w:lvl w:ilvl="0" w:tentative="0">
      <w:start w:val="1"/>
      <w:numFmt w:val="chineseCounting"/>
      <w:suff w:val="nothing"/>
      <w:lvlText w:val="%1、"/>
      <w:lvlJc w:val="left"/>
      <w:rPr>
        <w:rFonts w:hint="eastAsia"/>
      </w:rPr>
    </w:lvl>
  </w:abstractNum>
  <w:abstractNum w:abstractNumId="1">
    <w:nsid w:val="F1FBCEBA"/>
    <w:multiLevelType w:val="singleLevel"/>
    <w:tmpl w:val="F1FBCEB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A1C2D"/>
    <w:rsid w:val="19C80509"/>
    <w:rsid w:val="231E7DC3"/>
    <w:rsid w:val="25F352B7"/>
    <w:rsid w:val="2ED33660"/>
    <w:rsid w:val="429A1C2D"/>
    <w:rsid w:val="67FF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hAnsi="Calibri"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semiHidden/>
    <w:qFormat/>
    <w:uiPriority w:val="0"/>
    <w:pPr>
      <w:widowControl w:val="0"/>
      <w:snapToGrid w:val="0"/>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2857</Words>
  <Characters>2999</Characters>
  <Lines>0</Lines>
  <Paragraphs>0</Paragraphs>
  <TotalTime>5</TotalTime>
  <ScaleCrop>false</ScaleCrop>
  <LinksUpToDate>false</LinksUpToDate>
  <CharactersWithSpaces>3005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2025-08-25T10:44:00Z</dcterms:created>
  <dc:creator>卫达</dc:creator>
  <cp:lastModifiedBy>足迹</cp:lastModifiedBy>
  <dcterms:modified xsi:type="dcterms:W3CDTF">2025-08-26T01:14:26Z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2BC6C1FEED784466B02CED874C802130_11</vt:lpwstr>
  </property>
  <property fmtid="{D5CDD505-2E9C-101B-9397-08002B2CF9AE}" pid="4" name="KSOTemplateDocerSaveRecord">
    <vt:lpwstr>eyJoZGlkIjoiM2E0MzJkZGIxYTk5YjkzZmQ3Y2ExNGI3MTMwMTlhNDgiLCJ1c2VySWQiOiIyNzA3MzgzODUifQ==</vt:lpwstr>
  </property>
</Properties>
</file>