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方正小标宋简体" w:eastAsia="方正小标宋简体" w:cs="方正小标宋简体"/>
          <w:bCs/>
          <w:color w:val="auto"/>
          <w:w w:val="93"/>
          <w:sz w:val="44"/>
          <w:szCs w:val="44"/>
          <w:lang w:eastAsia="zh-CN"/>
        </w:rPr>
      </w:pPr>
      <w:r>
        <w:rPr>
          <w:rFonts w:hint="eastAsia" w:ascii="方正小标宋简体" w:hAnsi="方正小标宋简体" w:eastAsia="方正小标宋简体" w:cs="方正小标宋简体"/>
          <w:bCs/>
          <w:color w:val="auto"/>
          <w:w w:val="93"/>
          <w:sz w:val="44"/>
          <w:szCs w:val="44"/>
        </w:rPr>
        <w:t>平阳县县属国有企业员工招聘管理</w:t>
      </w:r>
      <w:r>
        <w:rPr>
          <w:rFonts w:hint="eastAsia" w:ascii="方正小标宋简体" w:hAnsi="方正小标宋简体" w:eastAsia="方正小标宋简体" w:cs="方正小标宋简体"/>
          <w:bCs/>
          <w:color w:val="auto"/>
          <w:w w:val="93"/>
          <w:sz w:val="44"/>
          <w:szCs w:val="44"/>
          <w:lang w:val="en-US" w:eastAsia="zh-CN"/>
        </w:rPr>
        <w:t>暂行</w:t>
      </w:r>
      <w:r>
        <w:rPr>
          <w:rFonts w:hint="eastAsia" w:ascii="方正小标宋简体" w:hAnsi="方正小标宋简体" w:eastAsia="方正小标宋简体" w:cs="方正小标宋简体"/>
          <w:bCs/>
          <w:color w:val="auto"/>
          <w:w w:val="93"/>
          <w:sz w:val="44"/>
          <w:szCs w:val="44"/>
          <w:lang w:eastAsia="zh-CN"/>
        </w:rPr>
        <w:t>办法</w:t>
      </w:r>
    </w:p>
    <w:p>
      <w:pPr>
        <w:widowControl/>
        <w:spacing w:before="156" w:beforeLines="50" w:after="156" w:afterLines="50" w:line="480" w:lineRule="exact"/>
        <w:jc w:val="center"/>
        <w:rPr>
          <w:rFonts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第一章  总  则</w:t>
      </w:r>
    </w:p>
    <w:p>
      <w:pPr>
        <w:adjustRightInd w:val="0"/>
        <w:snapToGrid w:val="0"/>
        <w:spacing w:line="480" w:lineRule="exact"/>
        <w:ind w:firstLine="560" w:firstLineChars="200"/>
        <w:rPr>
          <w:rFonts w:ascii="华文中宋" w:hAnsi="华文中宋" w:eastAsia="华文中宋" w:cs="华文中宋"/>
          <w:color w:val="auto"/>
          <w:w w:val="93"/>
          <w:sz w:val="28"/>
          <w:szCs w:val="28"/>
        </w:rPr>
      </w:pPr>
      <w:r>
        <w:rPr>
          <w:rFonts w:hint="eastAsia" w:ascii="华文中宋" w:hAnsi="华文中宋" w:eastAsia="华文中宋" w:cs="华文中宋"/>
          <w:color w:val="auto"/>
          <w:kern w:val="0"/>
          <w:sz w:val="28"/>
          <w:szCs w:val="28"/>
        </w:rPr>
        <w:t>第一条</w:t>
      </w:r>
      <w:r>
        <w:rPr>
          <w:rFonts w:hint="eastAsia" w:ascii="华文中宋" w:hAnsi="华文中宋" w:eastAsia="华文中宋" w:cs="华文中宋"/>
          <w:color w:val="auto"/>
          <w:sz w:val="28"/>
          <w:szCs w:val="28"/>
        </w:rPr>
        <w:t xml:space="preserve">  为进一步深化全县国有企业人事管理制度改革，实现人事管理的科学化、制度化，规范员工招聘行为，提高员工素质，根据《进一步深化国有企业改革的若干意见》（温委发〔2014〕46号）和《温州市人民政府办公室关于印发&lt;温州市市属国有企业机构设置与编制管理办法&gt;等7项国资监管制度的通知》（温政办发〔2015〕95号）等文件精神，结合我县实际，制定本办法。</w:t>
      </w:r>
    </w:p>
    <w:p>
      <w:pPr>
        <w:widowControl/>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第二条</w:t>
      </w:r>
      <w:r>
        <w:rPr>
          <w:rFonts w:hint="eastAsia" w:ascii="华文中宋" w:hAnsi="华文中宋" w:eastAsia="华文中宋" w:cs="华文中宋"/>
          <w:color w:val="auto"/>
          <w:sz w:val="28"/>
          <w:szCs w:val="28"/>
        </w:rPr>
        <w:t xml:space="preserve">  本办法适用于全县县属国有企业及所属全资、控股企业（以下简称县属国有企业及所属企业）。本办法所称员工指县属国有企业及所属企业核定编制内人员，不包括临时聘用人员、劳务派遣等其他人员（下同）。</w:t>
      </w:r>
    </w:p>
    <w:p>
      <w:pPr>
        <w:widowControl/>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第三条</w:t>
      </w:r>
      <w:r>
        <w:rPr>
          <w:rFonts w:hint="eastAsia" w:ascii="华文中宋" w:hAnsi="华文中宋" w:eastAsia="华文中宋" w:cs="华文中宋"/>
          <w:color w:val="auto"/>
          <w:sz w:val="28"/>
          <w:szCs w:val="28"/>
        </w:rPr>
        <w:t>　县属国有企业及所属企业招聘员工，应坚持德才兼备，“公开、平等、竞争、择优”，政府宏观管理与落实企业用人自主权相结合的原则。</w:t>
      </w:r>
    </w:p>
    <w:p>
      <w:pPr>
        <w:widowControl/>
        <w:spacing w:before="156" w:beforeLines="50" w:after="156" w:afterLines="50" w:line="480" w:lineRule="exact"/>
        <w:jc w:val="center"/>
        <w:rPr>
          <w:rFonts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第二章  员工编制审批</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第四条</w:t>
      </w:r>
      <w:r>
        <w:rPr>
          <w:rFonts w:hint="eastAsia" w:ascii="华文中宋" w:hAnsi="华文中宋" w:eastAsia="华文中宋" w:cs="华文中宋"/>
          <w:color w:val="auto"/>
          <w:sz w:val="28"/>
          <w:szCs w:val="28"/>
        </w:rPr>
        <w:t xml:space="preserve">  县属国有企业及所属企业员工编制实行计划审批制度。</w:t>
      </w:r>
    </w:p>
    <w:p>
      <w:pPr>
        <w:adjustRightInd w:val="0"/>
        <w:snapToGrid w:val="0"/>
        <w:spacing w:line="480" w:lineRule="exact"/>
        <w:ind w:firstLine="560" w:firstLineChars="200"/>
        <w:rPr>
          <w:rFonts w:ascii="华文中宋" w:hAnsi="华文中宋" w:eastAsia="华文中宋" w:cs="华文中宋"/>
          <w:color w:val="auto"/>
          <w:w w:val="93"/>
          <w:sz w:val="28"/>
          <w:szCs w:val="28"/>
        </w:rPr>
      </w:pPr>
      <w:r>
        <w:rPr>
          <w:rFonts w:hint="eastAsia" w:ascii="华文中宋" w:hAnsi="华文中宋" w:eastAsia="华文中宋" w:cs="华文中宋"/>
          <w:color w:val="auto"/>
          <w:sz w:val="28"/>
          <w:szCs w:val="28"/>
        </w:rPr>
        <w:t>（一）企业要求调整员工编制的，应在每年3月底前，向主管部门汇报下一年度员工编制计划。</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（二）主管部门对企业上报的年度员工编制计划详细审核后，上报县国资办。</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（三）县国资办牵头，县纪委（县监察委）、县委组织部、县委编办</w:t>
      </w:r>
      <w:bookmarkStart w:id="0" w:name="_GoBack"/>
      <w:bookmarkEnd w:id="0"/>
      <w:r>
        <w:rPr>
          <w:rFonts w:hint="eastAsia" w:ascii="华文中宋" w:hAnsi="华文中宋" w:eastAsia="华文中宋" w:cs="华文中宋"/>
          <w:color w:val="auto"/>
          <w:sz w:val="28"/>
          <w:szCs w:val="28"/>
        </w:rPr>
        <w:t>、县人力社保局、县审计局等有关部门召开联席会议，经县国资监管工作联席会议集体审核后，上报县政府批准并发文。企业员工编制计划原则上每年申报一次。</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（四）当年新组建企业的员工编制计划，或确因工作需要需增编的，经主管部门审核后报县国资办，县国资办按照“一事一议”原则，经联席会议通过，上报县政府批准发文。</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五）企业调整员工编制计划应当说明企业近两年有关经营效益情况（政府性任务或公共服务的产品数量和质量），调整员工编制的主要理由、岗位分布、用工规划等情况；新组建企业还需提供有关企业设立的批复文件。</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（六）确属特殊情况的，按照县政府主要领导签署意见执行。</w:t>
      </w:r>
    </w:p>
    <w:p>
      <w:pPr>
        <w:widowControl/>
        <w:spacing w:before="156" w:beforeLines="50" w:after="156" w:afterLines="50" w:line="480" w:lineRule="exact"/>
        <w:jc w:val="center"/>
        <w:rPr>
          <w:rFonts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第三章  招聘计划与应聘条件</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第五条</w:t>
      </w:r>
      <w:r>
        <w:rPr>
          <w:rFonts w:hint="eastAsia" w:ascii="华文中宋" w:hAnsi="华文中宋" w:eastAsia="华文中宋" w:cs="华文中宋"/>
          <w:color w:val="auto"/>
          <w:sz w:val="28"/>
          <w:szCs w:val="28"/>
        </w:rPr>
        <w:t xml:space="preserve">  县属国有企业及所属企业公开招聘员工，应在县政府批准的员工年度编制计划内实行招聘，并采取考试与考核相结合的方法。</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第六条</w:t>
      </w:r>
      <w:r>
        <w:rPr>
          <w:rFonts w:hint="eastAsia" w:ascii="华文中宋" w:hAnsi="华文中宋" w:eastAsia="华文中宋" w:cs="华文中宋"/>
          <w:color w:val="auto"/>
          <w:sz w:val="28"/>
          <w:szCs w:val="28"/>
        </w:rPr>
        <w:t xml:space="preserve">  县属国有企业及所属企业公开招聘员工，应根据招聘岗位的任职条件及要求拟定招聘计划，经主管部门审核后，报县国资办审批通过，由招聘企业负责组织实施，聘用手续由招聘企业办理。</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第七条</w:t>
      </w:r>
      <w:r>
        <w:rPr>
          <w:rFonts w:hint="eastAsia" w:ascii="华文中宋" w:hAnsi="华文中宋" w:eastAsia="华文中宋" w:cs="华文中宋"/>
          <w:color w:val="auto"/>
          <w:sz w:val="28"/>
          <w:szCs w:val="28"/>
        </w:rPr>
        <w:t xml:space="preserve">  具备以下条件之一者，经招聘企业及主管部门审核，报经县国资办同意，可直接按有关程序办理聘用手续：</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（一）属于县属国有企业及所属企业急需引进的高层次、高技能专业人才；</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（二）具有公务员或事业编制身份的人员；</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（三）涉密岗位或专业特殊岗位人员；</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（四）属于急需紧缺专业、岗位或确实难以形成竞争的专业岗位人员；</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（五）县属国有企业员工、所属企业管理技术人员跨企业流动。</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县属国有企业及所属企业接收上级机关按人事管理权限任命的人员、军队转业干部（士官）及随调家属、现役军人家属等国家规定的政策性安置人员按有关规定办理。</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第八条</w:t>
      </w:r>
      <w:r>
        <w:rPr>
          <w:rFonts w:hint="eastAsia" w:ascii="华文中宋" w:hAnsi="华文中宋" w:eastAsia="华文中宋" w:cs="华文中宋"/>
          <w:color w:val="auto"/>
          <w:sz w:val="28"/>
          <w:szCs w:val="28"/>
        </w:rPr>
        <w:t xml:space="preserve">  县属国有企业及所属企业员工招聘计划，应当包括以下内容：</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（一）招聘单位情况简介；</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（二）拟招聘的岗位名称、人数、专业及所需资格条件；</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（三）报名的时间、地点和所需证件、资料；</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（四）考试、考核的时间、地点和科目、范围；</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（五）招聘办法、程序及其他需要说明的事项。</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第九条</w:t>
      </w:r>
      <w:r>
        <w:rPr>
          <w:rFonts w:hint="eastAsia" w:ascii="华文中宋" w:hAnsi="华文中宋" w:eastAsia="华文中宋" w:cs="华文中宋"/>
          <w:color w:val="auto"/>
          <w:sz w:val="28"/>
          <w:szCs w:val="28"/>
        </w:rPr>
        <w:t>　应聘人员必须具备下列基本条件：</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（一）遵纪守法，品行端正，愿意履行国有企业员工的义务；</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（二）适应岗位要求的身体条件；</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（三）具备与应聘岗位要求相适应的学历、专业、技能条件；</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（四）岗位所需要的其他条件。</w:t>
      </w:r>
    </w:p>
    <w:p>
      <w:pPr>
        <w:widowControl/>
        <w:spacing w:before="156" w:beforeLines="50" w:after="156" w:afterLines="50" w:line="480" w:lineRule="exact"/>
        <w:jc w:val="center"/>
        <w:rPr>
          <w:rFonts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第四章  招聘基本程序</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第十条</w:t>
      </w:r>
      <w:r>
        <w:rPr>
          <w:rFonts w:hint="eastAsia" w:ascii="华文中宋" w:hAnsi="华文中宋" w:eastAsia="华文中宋" w:cs="华文中宋"/>
          <w:color w:val="auto"/>
          <w:sz w:val="28"/>
          <w:szCs w:val="28"/>
        </w:rPr>
        <w:t xml:space="preserve">  县属国有企业及所属企业公开招聘员工按以下程序进行：</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w:t>
      </w:r>
      <w:r>
        <w:rPr>
          <w:rFonts w:hint="eastAsia" w:ascii="华文中宋" w:hAnsi="华文中宋" w:eastAsia="华文中宋" w:cs="华文中宋"/>
          <w:color w:val="auto"/>
          <w:sz w:val="28"/>
          <w:szCs w:val="28"/>
        </w:rPr>
        <w:t>一</w:t>
      </w:r>
      <w:r>
        <w:rPr>
          <w:rFonts w:hint="eastAsia" w:ascii="华文中宋" w:hAnsi="华文中宋" w:eastAsia="华文中宋" w:cs="华文中宋"/>
          <w:color w:val="auto"/>
          <w:kern w:val="0"/>
          <w:sz w:val="28"/>
          <w:szCs w:val="28"/>
        </w:rPr>
        <w:t>）</w:t>
      </w:r>
      <w:r>
        <w:rPr>
          <w:rFonts w:hint="eastAsia" w:ascii="华文中宋" w:hAnsi="华文中宋" w:eastAsia="华文中宋" w:cs="华文中宋"/>
          <w:color w:val="auto"/>
          <w:sz w:val="28"/>
          <w:szCs w:val="28"/>
        </w:rPr>
        <w:t>发布招聘公告。招聘计划经县国资办审核后，由招聘企业在平阳县人才网等县级以上媒体统一向社会公开发布。发布招聘公告至报名开始时间应不少于7天，报名时间不少于7天。</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二）报名及资格审查。在招聘公告确定的时间和地点，由招聘企业接受应聘人员的报名，报名结束后，由招聘企业对应聘人员资格条件进行审查。原则上同一岗位的报考人数与招聘计划数不得低于3：1的比例，通过资格条件审查的应聘人员与招聘计划数不得低于3：1的比例，如低于以上比例，相应核减或取消招聘计划。对少数专业特殊或确实难以形成竞争的专业技术岗位，可根据实际情况，由招聘企业报经主管部门和县国资办同意后，另行确定开考比例。</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 xml:space="preserve">（三）组织考试。考试由招聘单位组织实施。可以采取笔试或面试（面谈）或技能测试，以及笔试、面试（面谈）与技能测试相结合等方式进行，其中技能要求较低的一般岗位可适当简化程序。笔试科目及面试（面谈）内容可根据行（专）业及岗位特点确定，技能测试内容为招聘岗位所必备的工作技能。考试应实行量化评分。       </w:t>
      </w:r>
    </w:p>
    <w:p>
      <w:pPr>
        <w:widowControl/>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面试应成立由5—7人组成的考核组，根据不同的招聘岗位要求和特点，采取结构化面试、专业技能考评、实际操作等方式进行。笔试结束后，根据笔试成绩，从高分到低分按招聘计划规定的比例确定面试对象，入围面试对象不足招聘计划规定比例的，相应核减或取消招聘计划，具体事宜由招聘企业研究决定。</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（五）体检。面试结束后，按笔试成绩、面试成绩或技能测试成绩的总分，根据招聘计划，从高分到低分按1:1的比例确定体检人选。</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体检由招聘企业统一组织，标准参照招聘公务员有关规定。体检应在县及县以上综合医院进行。</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（六）考察。考察由招聘企业实施。主要是考察拟聘用人选的德、能、勤、绩、廉等情况并复核资格条件。</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（七）聘用。确定拟聘用人员并经公示</w:t>
      </w:r>
      <w:r>
        <w:rPr>
          <w:rFonts w:hint="eastAsia" w:ascii="华文中宋" w:hAnsi="华文中宋" w:eastAsia="华文中宋" w:cs="华文中宋"/>
          <w:color w:val="auto"/>
          <w:kern w:val="0"/>
          <w:sz w:val="28"/>
          <w:szCs w:val="28"/>
        </w:rPr>
        <w:t>（</w:t>
      </w:r>
      <w:r>
        <w:rPr>
          <w:rFonts w:hint="eastAsia" w:ascii="华文中宋" w:hAnsi="华文中宋" w:eastAsia="华文中宋" w:cs="华文中宋"/>
          <w:color w:val="auto"/>
          <w:sz w:val="28"/>
          <w:szCs w:val="28"/>
        </w:rPr>
        <w:t>时间一般不少于7个工作日</w:t>
      </w:r>
      <w:r>
        <w:rPr>
          <w:rFonts w:hint="eastAsia" w:ascii="华文中宋" w:hAnsi="华文中宋" w:eastAsia="华文中宋" w:cs="华文中宋"/>
          <w:color w:val="auto"/>
          <w:kern w:val="0"/>
          <w:sz w:val="28"/>
          <w:szCs w:val="28"/>
        </w:rPr>
        <w:t>）</w:t>
      </w:r>
      <w:r>
        <w:rPr>
          <w:rFonts w:hint="eastAsia" w:ascii="华文中宋" w:hAnsi="华文中宋" w:eastAsia="华文中宋" w:cs="华文中宋"/>
          <w:color w:val="auto"/>
          <w:sz w:val="28"/>
          <w:szCs w:val="28"/>
        </w:rPr>
        <w:t>无异议后，由招聘单位填写《平阳县属国有企业招聘人员审核表》，报县国资办核准。</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第十一条</w:t>
      </w:r>
      <w:r>
        <w:rPr>
          <w:rFonts w:hint="eastAsia" w:ascii="华文中宋" w:hAnsi="华文中宋" w:eastAsia="华文中宋" w:cs="华文中宋"/>
          <w:color w:val="auto"/>
          <w:sz w:val="28"/>
          <w:szCs w:val="28"/>
        </w:rPr>
        <w:t xml:space="preserve">  县属国有企业及所属企业应按《劳动合同法》规定，与聘用人员签订劳动合同。新聘人员按相关规定实行试用期制度。拟聘用人员无正当理由未在规定时间内报到的，取消聘用资格。</w:t>
      </w:r>
    </w:p>
    <w:p>
      <w:pPr>
        <w:spacing w:line="480" w:lineRule="exact"/>
        <w:ind w:firstLine="560" w:firstLineChars="200"/>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在体检、考核、公示等环节如发现不符合要求或因自身原因放弃或在规定时间内不办理手续等产生的空缺名额，如需递补，要在招聘公告中明确，并按考试总成绩排名顺序依次递补。</w:t>
      </w:r>
    </w:p>
    <w:p>
      <w:pPr>
        <w:keepNext w:val="0"/>
        <w:keepLines w:val="0"/>
        <w:widowControl/>
        <w:numPr>
          <w:ilvl w:val="0"/>
          <w:numId w:val="1"/>
        </w:numPr>
        <w:suppressLineNumbers w:val="0"/>
        <w:spacing w:line="480" w:lineRule="exact"/>
        <w:ind w:firstLine="560" w:firstLineChars="200"/>
        <w:jc w:val="left"/>
        <w:rPr>
          <w:rFonts w:hint="eastAsia" w:ascii="华文中宋" w:hAnsi="华文中宋" w:eastAsia="华文中宋" w:cs="华文中宋"/>
          <w:color w:val="auto"/>
          <w:kern w:val="2"/>
          <w:sz w:val="28"/>
          <w:szCs w:val="28"/>
          <w:lang w:val="en-US" w:eastAsia="zh-CN" w:bidi="ar"/>
        </w:rPr>
      </w:pPr>
      <w:r>
        <w:rPr>
          <w:rFonts w:hint="eastAsia" w:ascii="华文中宋" w:hAnsi="华文中宋" w:eastAsia="华文中宋" w:cs="华文中宋"/>
          <w:color w:val="auto"/>
          <w:kern w:val="2"/>
          <w:sz w:val="28"/>
          <w:szCs w:val="28"/>
          <w:lang w:val="en-US" w:eastAsia="zh-CN" w:bidi="ar"/>
        </w:rPr>
        <w:t>建立招聘人才储备制度。对时效强、流动性大或专业属于特别紧缺、急需，招聘难度较大的岗位，可实施人才储备制度。实施人才储备的岗位由县属国有企业提出，经县国资办同意，在公开招聘公告中予以明确。县属国有企业及所属企业公开招聘后，可根据专业（岗位）需求，在招聘计划与报名人数达到一定比例以上的，在招聘落选人员中从高分到低分，按与招聘计划数 1︰1 的比例储备，建立后备人才库，有效期一年。人才储备对象的考试成绩应设定最低分数线，具体分数线在公开招聘公告中明确。</w:t>
      </w:r>
    </w:p>
    <w:p>
      <w:pPr>
        <w:spacing w:line="480" w:lineRule="exact"/>
        <w:ind w:firstLine="560" w:firstLineChars="200"/>
        <w:rPr>
          <w:rFonts w:hint="eastAsia" w:ascii="华文中宋" w:hAnsi="华文中宋" w:eastAsia="华文中宋" w:cs="华文中宋"/>
          <w:color w:val="auto"/>
          <w:sz w:val="28"/>
          <w:szCs w:val="28"/>
        </w:rPr>
      </w:pPr>
      <w:r>
        <w:rPr>
          <w:rFonts w:hint="eastAsia" w:ascii="华文中宋" w:hAnsi="华文中宋" w:eastAsia="华文中宋" w:cs="华文中宋"/>
          <w:color w:val="auto"/>
          <w:kern w:val="2"/>
          <w:sz w:val="28"/>
          <w:szCs w:val="28"/>
          <w:lang w:val="en-US" w:eastAsia="zh-CN" w:bidi="ar"/>
        </w:rPr>
        <w:t>县属国有企业在当年度内编制空缺、有同类专业（岗位）需求时，经县国资办同意，可以从后备人才库中按高分到低分的顺序，直接体检、考核、公示后聘用。</w:t>
      </w:r>
    </w:p>
    <w:p>
      <w:pPr>
        <w:widowControl/>
        <w:spacing w:before="156" w:beforeLines="50" w:after="156" w:afterLines="50" w:line="480" w:lineRule="exact"/>
        <w:jc w:val="center"/>
        <w:rPr>
          <w:rFonts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第五章  回避与监督</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第十</w:t>
      </w:r>
      <w:r>
        <w:rPr>
          <w:rFonts w:hint="eastAsia" w:ascii="华文中宋" w:hAnsi="华文中宋" w:eastAsia="华文中宋" w:cs="华文中宋"/>
          <w:color w:val="auto"/>
          <w:kern w:val="0"/>
          <w:sz w:val="28"/>
          <w:szCs w:val="28"/>
          <w:lang w:val="en-US" w:eastAsia="zh-CN"/>
        </w:rPr>
        <w:t>三</w:t>
      </w:r>
      <w:r>
        <w:rPr>
          <w:rFonts w:hint="eastAsia" w:ascii="华文中宋" w:hAnsi="华文中宋" w:eastAsia="华文中宋" w:cs="华文中宋"/>
          <w:color w:val="auto"/>
          <w:kern w:val="0"/>
          <w:sz w:val="28"/>
          <w:szCs w:val="28"/>
        </w:rPr>
        <w:t>条</w:t>
      </w:r>
      <w:r>
        <w:rPr>
          <w:rFonts w:hint="eastAsia" w:ascii="华文中宋" w:hAnsi="华文中宋" w:eastAsia="华文中宋" w:cs="华文中宋"/>
          <w:color w:val="auto"/>
          <w:sz w:val="28"/>
          <w:szCs w:val="28"/>
        </w:rPr>
        <w:t xml:space="preserve">  县属国有企业及所属企业聘用员工必须严格按照有关规定实行回避制度。凡与招聘单位负责人有夫妻关系、直系血亲关系、三代以内旁系血亲或者近姻亲关系的应聘人员，不得应聘该单位人事、财务审计和纪检岗位。</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第十</w:t>
      </w:r>
      <w:r>
        <w:rPr>
          <w:rFonts w:hint="eastAsia" w:ascii="华文中宋" w:hAnsi="华文中宋" w:eastAsia="华文中宋" w:cs="华文中宋"/>
          <w:color w:val="auto"/>
          <w:kern w:val="0"/>
          <w:sz w:val="28"/>
          <w:szCs w:val="28"/>
          <w:lang w:val="en-US" w:eastAsia="zh-CN"/>
        </w:rPr>
        <w:t>四</w:t>
      </w:r>
      <w:r>
        <w:rPr>
          <w:rFonts w:hint="eastAsia" w:ascii="华文中宋" w:hAnsi="华文中宋" w:eastAsia="华文中宋" w:cs="华文中宋"/>
          <w:color w:val="auto"/>
          <w:kern w:val="0"/>
          <w:sz w:val="28"/>
          <w:szCs w:val="28"/>
        </w:rPr>
        <w:t>条</w:t>
      </w:r>
      <w:r>
        <w:rPr>
          <w:rFonts w:hint="eastAsia" w:ascii="华文中宋" w:hAnsi="华文中宋" w:eastAsia="华文中宋" w:cs="华文中宋"/>
          <w:color w:val="auto"/>
          <w:sz w:val="28"/>
          <w:szCs w:val="28"/>
        </w:rPr>
        <w:t>　县属国有企业及所属企业要认真履行职责，企业负责人和招聘工作人员在办理人员招聘事项时，涉及与本人有上述亲属关系或者其他情形可能影响招聘公正的，应当主动申请回避。对违反人事纪律和本办法有关规定的，要及时予以制止、纠正、处理，追究相关责任人的责任，确保招聘工作的公开、公正、公平。</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第十</w:t>
      </w:r>
      <w:r>
        <w:rPr>
          <w:rFonts w:hint="eastAsia" w:ascii="华文中宋" w:hAnsi="华文中宋" w:eastAsia="华文中宋" w:cs="华文中宋"/>
          <w:color w:val="auto"/>
          <w:kern w:val="0"/>
          <w:sz w:val="28"/>
          <w:szCs w:val="28"/>
          <w:lang w:val="en-US" w:eastAsia="zh-CN"/>
        </w:rPr>
        <w:t>五</w:t>
      </w:r>
      <w:r>
        <w:rPr>
          <w:rFonts w:hint="eastAsia" w:ascii="华文中宋" w:hAnsi="华文中宋" w:eastAsia="华文中宋" w:cs="华文中宋"/>
          <w:color w:val="auto"/>
          <w:kern w:val="0"/>
          <w:sz w:val="28"/>
          <w:szCs w:val="28"/>
        </w:rPr>
        <w:t>条</w:t>
      </w:r>
      <w:r>
        <w:rPr>
          <w:rFonts w:hint="eastAsia" w:ascii="华文中宋" w:hAnsi="华文中宋" w:eastAsia="华文中宋" w:cs="华文中宋"/>
          <w:color w:val="auto"/>
          <w:sz w:val="28"/>
          <w:szCs w:val="28"/>
        </w:rPr>
        <w:t>　应聘人员违反招聘规定，有下列行为的，视情节轻重，取消考试或聘用资格；已经聘用的，一经查实，应当解除聘用合同，予以清退</w:t>
      </w:r>
      <w:r>
        <w:rPr>
          <w:rFonts w:hint="eastAsia" w:ascii="华文中宋" w:hAnsi="华文中宋" w:eastAsia="华文中宋" w:cs="华文中宋"/>
          <w:b/>
          <w:color w:val="auto"/>
          <w:sz w:val="28"/>
          <w:szCs w:val="28"/>
        </w:rPr>
        <w:t>。</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（一）伪造、涂改证件、证明，或以其他不正当手段获取应聘资格的；</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（二）应聘人员在考试、考核、体检过程中作弊的；</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（三）其他违反规定情形的。</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第十</w:t>
      </w:r>
      <w:r>
        <w:rPr>
          <w:rFonts w:hint="eastAsia" w:ascii="华文中宋" w:hAnsi="华文中宋" w:eastAsia="华文中宋" w:cs="华文中宋"/>
          <w:color w:val="auto"/>
          <w:kern w:val="0"/>
          <w:sz w:val="28"/>
          <w:szCs w:val="28"/>
          <w:lang w:val="en-US" w:eastAsia="zh-CN"/>
        </w:rPr>
        <w:t>六</w:t>
      </w:r>
      <w:r>
        <w:rPr>
          <w:rFonts w:hint="eastAsia" w:ascii="华文中宋" w:hAnsi="华文中宋" w:eastAsia="华文中宋" w:cs="华文中宋"/>
          <w:color w:val="auto"/>
          <w:kern w:val="0"/>
          <w:sz w:val="28"/>
          <w:szCs w:val="28"/>
        </w:rPr>
        <w:t>条</w:t>
      </w:r>
      <w:r>
        <w:rPr>
          <w:rFonts w:hint="eastAsia" w:ascii="华文中宋" w:hAnsi="华文中宋" w:eastAsia="华文中宋" w:cs="华文中宋"/>
          <w:color w:val="auto"/>
          <w:sz w:val="28"/>
          <w:szCs w:val="28"/>
        </w:rPr>
        <w:t>　工作人员违反公开招聘纪律，有以下行为的，视情节轻重调离工作岗位或按照有关规定追究责任。</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（一）招聘工作人员指使、纵容他人作弊，或在考试、考核、体检中参与作弊的；</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（二）招聘工作人员故意泄露考试题目的；</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（三）招聘单位负责人违反规定私自聘用人员的；</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（四）公开招聘人员的组织实施单位和工作人员违反规定，影响招聘工作公平、公正进行的；</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（五）其他违反规定情形的。</w:t>
      </w:r>
    </w:p>
    <w:p>
      <w:pPr>
        <w:adjustRightInd w:val="0"/>
        <w:snapToGrid w:val="0"/>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w:t>
      </w:r>
      <w:r>
        <w:rPr>
          <w:rFonts w:hint="eastAsia" w:ascii="华文中宋" w:hAnsi="华文中宋" w:eastAsia="华文中宋" w:cs="华文中宋"/>
          <w:color w:val="auto"/>
          <w:kern w:val="0"/>
          <w:sz w:val="28"/>
          <w:szCs w:val="28"/>
          <w:lang w:val="en-US" w:eastAsia="zh-CN"/>
        </w:rPr>
        <w:t>十七</w:t>
      </w:r>
      <w:r>
        <w:rPr>
          <w:rFonts w:hint="eastAsia" w:ascii="华文中宋" w:hAnsi="华文中宋" w:eastAsia="华文中宋" w:cs="华文中宋"/>
          <w:color w:val="auto"/>
          <w:kern w:val="0"/>
          <w:sz w:val="28"/>
          <w:szCs w:val="28"/>
        </w:rPr>
        <w:t>条</w:t>
      </w:r>
      <w:r>
        <w:rPr>
          <w:rFonts w:hint="eastAsia" w:ascii="华文中宋" w:hAnsi="华文中宋" w:eastAsia="华文中宋" w:cs="华文中宋"/>
          <w:color w:val="auto"/>
          <w:sz w:val="28"/>
          <w:szCs w:val="28"/>
        </w:rPr>
        <w:t xml:space="preserve">  县属国有企业及所属企业的主管部门应加强对招聘工作全过程的监督管理；县纪委（县监察委）依法履行对县属国有企业及所属企业员工招聘的监督职能。县国资办对县属国有企业及所属企业员工招聘工作的执行情况进行监督检查，并将各企业执行情况列入年度业绩考核内容。</w:t>
      </w:r>
    </w:p>
    <w:p>
      <w:pPr>
        <w:widowControl/>
        <w:spacing w:before="156" w:beforeLines="50" w:after="156" w:afterLines="50" w:line="480" w:lineRule="exact"/>
        <w:jc w:val="center"/>
        <w:rPr>
          <w:rFonts w:ascii="华文中宋" w:hAnsi="华文中宋" w:eastAsia="华文中宋" w:cs="华文中宋"/>
          <w:color w:val="auto"/>
          <w:kern w:val="0"/>
          <w:sz w:val="28"/>
          <w:szCs w:val="28"/>
        </w:rPr>
      </w:pPr>
      <w:r>
        <w:rPr>
          <w:rFonts w:hint="eastAsia" w:ascii="华文中宋" w:hAnsi="华文中宋" w:eastAsia="华文中宋" w:cs="华文中宋"/>
          <w:color w:val="auto"/>
          <w:kern w:val="0"/>
          <w:sz w:val="28"/>
          <w:szCs w:val="28"/>
        </w:rPr>
        <w:t>第六章  附则</w:t>
      </w:r>
    </w:p>
    <w:p>
      <w:pPr>
        <w:spacing w:line="480" w:lineRule="exact"/>
        <w:ind w:firstLine="560" w:firstLineChars="200"/>
        <w:rPr>
          <w:rFonts w:ascii="华文中宋" w:hAnsi="华文中宋" w:eastAsia="华文中宋" w:cs="华文中宋"/>
          <w:color w:val="auto"/>
          <w:sz w:val="28"/>
          <w:szCs w:val="28"/>
        </w:rPr>
      </w:pPr>
      <w:r>
        <w:rPr>
          <w:rFonts w:hint="eastAsia" w:ascii="华文中宋" w:hAnsi="华文中宋" w:eastAsia="华文中宋" w:cs="华文中宋"/>
          <w:color w:val="auto"/>
          <w:kern w:val="0"/>
          <w:sz w:val="28"/>
          <w:szCs w:val="28"/>
        </w:rPr>
        <w:t>第</w:t>
      </w:r>
      <w:r>
        <w:rPr>
          <w:rFonts w:hint="eastAsia" w:ascii="华文中宋" w:hAnsi="华文中宋" w:eastAsia="华文中宋" w:cs="华文中宋"/>
          <w:color w:val="auto"/>
          <w:kern w:val="0"/>
          <w:sz w:val="28"/>
          <w:szCs w:val="28"/>
          <w:lang w:val="en-US" w:eastAsia="zh-CN"/>
        </w:rPr>
        <w:t>十八</w:t>
      </w:r>
      <w:r>
        <w:rPr>
          <w:rFonts w:hint="eastAsia" w:ascii="华文中宋" w:hAnsi="华文中宋" w:eastAsia="华文中宋" w:cs="华文中宋"/>
          <w:color w:val="auto"/>
          <w:kern w:val="0"/>
          <w:sz w:val="28"/>
          <w:szCs w:val="28"/>
        </w:rPr>
        <w:t>条</w:t>
      </w:r>
      <w:r>
        <w:rPr>
          <w:rFonts w:hint="eastAsia" w:ascii="华文中宋" w:hAnsi="华文中宋" w:eastAsia="华文中宋" w:cs="华文中宋"/>
          <w:color w:val="auto"/>
          <w:sz w:val="28"/>
          <w:szCs w:val="28"/>
        </w:rPr>
        <w:t>　本办法自</w:t>
      </w:r>
      <w:r>
        <w:rPr>
          <w:rFonts w:hint="eastAsia" w:ascii="华文中宋" w:hAnsi="华文中宋" w:eastAsia="华文中宋" w:cs="华文中宋"/>
          <w:color w:val="auto"/>
          <w:kern w:val="0"/>
          <w:sz w:val="28"/>
          <w:szCs w:val="28"/>
          <w:lang w:val="en-US" w:eastAsia="zh-CN"/>
        </w:rPr>
        <w:t xml:space="preserve">    年  月   日</w:t>
      </w:r>
      <w:r>
        <w:rPr>
          <w:rFonts w:hint="eastAsia" w:ascii="华文中宋" w:hAnsi="华文中宋" w:eastAsia="华文中宋" w:cs="华文中宋"/>
          <w:color w:val="auto"/>
          <w:sz w:val="28"/>
          <w:szCs w:val="28"/>
        </w:rPr>
        <w:t>起施行。</w:t>
      </w:r>
    </w:p>
    <w:p>
      <w:pPr>
        <w:ind w:firstLine="525"/>
        <w:rPr>
          <w:rFonts w:ascii="仿宋_GB2312" w:hAnsi="仿宋_GB2312" w:eastAsia="仿宋_GB2312"/>
          <w:color w:val="auto"/>
          <w:w w:val="93"/>
          <w:sz w:val="32"/>
          <w:szCs w:val="32"/>
        </w:rPr>
      </w:pPr>
    </w:p>
    <w:p>
      <w:pPr>
        <w:ind w:firstLine="525"/>
        <w:rPr>
          <w:rFonts w:hint="eastAsia"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ind w:firstLine="525"/>
        <w:rPr>
          <w:rFonts w:ascii="仿宋_GB2312" w:hAnsi="仿宋_GB2312" w:eastAsia="仿宋_GB2312"/>
          <w:color w:val="auto"/>
          <w:w w:val="93"/>
          <w:sz w:val="32"/>
          <w:szCs w:val="32"/>
        </w:rPr>
      </w:pPr>
    </w:p>
    <w:p>
      <w:pPr>
        <w:adjustRightInd w:val="0"/>
        <w:snapToGrid w:val="0"/>
        <w:spacing w:line="620" w:lineRule="exact"/>
        <w:rPr>
          <w:rFonts w:ascii="仿宋_GB2312" w:hAnsi="仿宋_GB2312" w:eastAsia="仿宋_GB2312"/>
          <w:color w:val="auto"/>
          <w:w w:val="93"/>
          <w:sz w:val="28"/>
          <w:szCs w:val="32"/>
        </w:rPr>
      </w:pPr>
      <w:r>
        <w:rPr>
          <w:rFonts w:hint="eastAsia" w:ascii="黑体" w:hAnsi="黑体" w:eastAsia="黑体" w:cs="黑体"/>
          <w:color w:val="auto"/>
          <w:w w:val="93"/>
          <w:sz w:val="32"/>
          <w:szCs w:val="32"/>
        </w:rPr>
        <w:t>附件</w:t>
      </w:r>
    </w:p>
    <w:p>
      <w:pPr>
        <w:adjustRightInd w:val="0"/>
        <w:snapToGrid w:val="0"/>
        <w:spacing w:line="620" w:lineRule="exact"/>
        <w:jc w:val="center"/>
        <w:rPr>
          <w:rFonts w:ascii="黑体" w:hAnsi="黑体" w:eastAsia="黑体" w:cs="方正小标宋简体"/>
          <w:bCs/>
          <w:color w:val="auto"/>
          <w:w w:val="93"/>
          <w:sz w:val="36"/>
          <w:szCs w:val="36"/>
        </w:rPr>
      </w:pPr>
      <w:r>
        <w:rPr>
          <w:rFonts w:hint="eastAsia" w:ascii="黑体" w:hAnsi="黑体" w:eastAsia="黑体" w:cs="方正小标宋简体"/>
          <w:bCs/>
          <w:color w:val="auto"/>
          <w:w w:val="93"/>
          <w:sz w:val="36"/>
          <w:szCs w:val="36"/>
        </w:rPr>
        <w:t>平阳县县属国有企业招聘人员审核表</w:t>
      </w:r>
    </w:p>
    <w:p>
      <w:pPr>
        <w:adjustRightInd w:val="0"/>
        <w:snapToGrid w:val="0"/>
        <w:spacing w:line="620" w:lineRule="exact"/>
        <w:jc w:val="center"/>
        <w:rPr>
          <w:rFonts w:ascii="仿宋_GB2312" w:hAnsi="仿宋_GB2312" w:eastAsia="仿宋_GB2312"/>
          <w:color w:val="auto"/>
          <w:w w:val="93"/>
          <w:sz w:val="28"/>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48"/>
        <w:gridCol w:w="912"/>
        <w:gridCol w:w="1440"/>
        <w:gridCol w:w="1068"/>
        <w:gridCol w:w="145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620"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姓  名</w:t>
            </w:r>
          </w:p>
        </w:tc>
        <w:tc>
          <w:tcPr>
            <w:tcW w:w="1248" w:type="dxa"/>
            <w:vAlign w:val="center"/>
          </w:tcPr>
          <w:p>
            <w:pPr>
              <w:adjustRightInd w:val="0"/>
              <w:snapToGrid w:val="0"/>
              <w:spacing w:line="400" w:lineRule="exact"/>
              <w:jc w:val="center"/>
              <w:rPr>
                <w:rFonts w:ascii="宋体" w:hAnsi="宋体"/>
                <w:color w:val="auto"/>
                <w:sz w:val="28"/>
                <w:szCs w:val="28"/>
              </w:rPr>
            </w:pPr>
          </w:p>
        </w:tc>
        <w:tc>
          <w:tcPr>
            <w:tcW w:w="912"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性别</w:t>
            </w:r>
          </w:p>
        </w:tc>
        <w:tc>
          <w:tcPr>
            <w:tcW w:w="1440" w:type="dxa"/>
            <w:vAlign w:val="center"/>
          </w:tcPr>
          <w:p>
            <w:pPr>
              <w:adjustRightInd w:val="0"/>
              <w:snapToGrid w:val="0"/>
              <w:spacing w:line="400" w:lineRule="exact"/>
              <w:jc w:val="center"/>
              <w:rPr>
                <w:rFonts w:ascii="宋体" w:hAnsi="宋体"/>
                <w:color w:val="auto"/>
                <w:sz w:val="28"/>
                <w:szCs w:val="28"/>
              </w:rPr>
            </w:pPr>
          </w:p>
        </w:tc>
        <w:tc>
          <w:tcPr>
            <w:tcW w:w="1068"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出生</w:t>
            </w:r>
          </w:p>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年月</w:t>
            </w:r>
          </w:p>
        </w:tc>
        <w:tc>
          <w:tcPr>
            <w:tcW w:w="1452" w:type="dxa"/>
            <w:vAlign w:val="center"/>
          </w:tcPr>
          <w:p>
            <w:pPr>
              <w:adjustRightInd w:val="0"/>
              <w:snapToGrid w:val="0"/>
              <w:spacing w:line="400" w:lineRule="exact"/>
              <w:jc w:val="center"/>
              <w:rPr>
                <w:rFonts w:ascii="宋体" w:hAnsi="宋体"/>
                <w:color w:val="auto"/>
                <w:sz w:val="28"/>
                <w:szCs w:val="28"/>
              </w:rPr>
            </w:pPr>
          </w:p>
        </w:tc>
        <w:tc>
          <w:tcPr>
            <w:tcW w:w="1440" w:type="dxa"/>
            <w:vMerge w:val="restart"/>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20"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出生地</w:t>
            </w:r>
          </w:p>
        </w:tc>
        <w:tc>
          <w:tcPr>
            <w:tcW w:w="1248" w:type="dxa"/>
            <w:vAlign w:val="center"/>
          </w:tcPr>
          <w:p>
            <w:pPr>
              <w:adjustRightInd w:val="0"/>
              <w:snapToGrid w:val="0"/>
              <w:spacing w:line="400" w:lineRule="exact"/>
              <w:jc w:val="center"/>
              <w:rPr>
                <w:rFonts w:ascii="宋体" w:hAnsi="宋体"/>
                <w:color w:val="auto"/>
                <w:sz w:val="28"/>
                <w:szCs w:val="28"/>
              </w:rPr>
            </w:pPr>
          </w:p>
        </w:tc>
        <w:tc>
          <w:tcPr>
            <w:tcW w:w="912"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民族</w:t>
            </w:r>
          </w:p>
        </w:tc>
        <w:tc>
          <w:tcPr>
            <w:tcW w:w="1440" w:type="dxa"/>
            <w:vAlign w:val="center"/>
          </w:tcPr>
          <w:p>
            <w:pPr>
              <w:adjustRightInd w:val="0"/>
              <w:snapToGrid w:val="0"/>
              <w:spacing w:line="400" w:lineRule="exact"/>
              <w:jc w:val="center"/>
              <w:rPr>
                <w:rFonts w:ascii="宋体" w:hAnsi="宋体"/>
                <w:color w:val="auto"/>
                <w:sz w:val="28"/>
                <w:szCs w:val="28"/>
              </w:rPr>
            </w:pPr>
          </w:p>
        </w:tc>
        <w:tc>
          <w:tcPr>
            <w:tcW w:w="1068"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政治</w:t>
            </w:r>
          </w:p>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面貌</w:t>
            </w:r>
          </w:p>
        </w:tc>
        <w:tc>
          <w:tcPr>
            <w:tcW w:w="1452" w:type="dxa"/>
            <w:vAlign w:val="center"/>
          </w:tcPr>
          <w:p>
            <w:pPr>
              <w:adjustRightInd w:val="0"/>
              <w:snapToGrid w:val="0"/>
              <w:spacing w:line="400" w:lineRule="exact"/>
              <w:jc w:val="center"/>
              <w:rPr>
                <w:rFonts w:ascii="宋体" w:hAnsi="宋体"/>
                <w:color w:val="auto"/>
                <w:sz w:val="28"/>
                <w:szCs w:val="28"/>
              </w:rPr>
            </w:pPr>
          </w:p>
        </w:tc>
        <w:tc>
          <w:tcPr>
            <w:tcW w:w="1440" w:type="dxa"/>
            <w:vMerge w:val="continue"/>
            <w:vAlign w:val="center"/>
          </w:tcPr>
          <w:p>
            <w:pPr>
              <w:adjustRightInd w:val="0"/>
              <w:snapToGrid w:val="0"/>
              <w:spacing w:line="40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620"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何时何校何专业毕业</w:t>
            </w:r>
          </w:p>
        </w:tc>
        <w:tc>
          <w:tcPr>
            <w:tcW w:w="4668" w:type="dxa"/>
            <w:gridSpan w:val="4"/>
            <w:vAlign w:val="center"/>
          </w:tcPr>
          <w:p>
            <w:pPr>
              <w:adjustRightInd w:val="0"/>
              <w:snapToGrid w:val="0"/>
              <w:spacing w:line="400" w:lineRule="exact"/>
              <w:jc w:val="center"/>
              <w:rPr>
                <w:rFonts w:ascii="宋体" w:hAnsi="宋体"/>
                <w:color w:val="auto"/>
                <w:sz w:val="28"/>
                <w:szCs w:val="28"/>
              </w:rPr>
            </w:pPr>
          </w:p>
        </w:tc>
        <w:tc>
          <w:tcPr>
            <w:tcW w:w="1452"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现从事何专业</w:t>
            </w:r>
          </w:p>
        </w:tc>
        <w:tc>
          <w:tcPr>
            <w:tcW w:w="1440" w:type="dxa"/>
            <w:vAlign w:val="center"/>
          </w:tcPr>
          <w:p>
            <w:pPr>
              <w:adjustRightInd w:val="0"/>
              <w:snapToGrid w:val="0"/>
              <w:spacing w:line="40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20"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身份证号码</w:t>
            </w:r>
          </w:p>
        </w:tc>
        <w:tc>
          <w:tcPr>
            <w:tcW w:w="4668" w:type="dxa"/>
            <w:gridSpan w:val="4"/>
            <w:vAlign w:val="center"/>
          </w:tcPr>
          <w:p>
            <w:pPr>
              <w:adjustRightInd w:val="0"/>
              <w:snapToGrid w:val="0"/>
              <w:spacing w:line="400" w:lineRule="exact"/>
              <w:jc w:val="center"/>
              <w:rPr>
                <w:rFonts w:ascii="宋体" w:hAnsi="宋体"/>
                <w:color w:val="auto"/>
                <w:sz w:val="28"/>
                <w:szCs w:val="28"/>
              </w:rPr>
            </w:pPr>
          </w:p>
        </w:tc>
        <w:tc>
          <w:tcPr>
            <w:tcW w:w="1452"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学历</w:t>
            </w:r>
          </w:p>
        </w:tc>
        <w:tc>
          <w:tcPr>
            <w:tcW w:w="1440" w:type="dxa"/>
            <w:vAlign w:val="center"/>
          </w:tcPr>
          <w:p>
            <w:pPr>
              <w:adjustRightInd w:val="0"/>
              <w:snapToGrid w:val="0"/>
              <w:spacing w:line="40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20"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户籍所在地</w:t>
            </w:r>
          </w:p>
        </w:tc>
        <w:tc>
          <w:tcPr>
            <w:tcW w:w="4668" w:type="dxa"/>
            <w:gridSpan w:val="4"/>
            <w:vAlign w:val="center"/>
          </w:tcPr>
          <w:p>
            <w:pPr>
              <w:adjustRightInd w:val="0"/>
              <w:snapToGrid w:val="0"/>
              <w:spacing w:line="400" w:lineRule="exact"/>
              <w:jc w:val="center"/>
              <w:rPr>
                <w:rFonts w:ascii="宋体" w:hAnsi="宋体"/>
                <w:color w:val="auto"/>
                <w:sz w:val="28"/>
                <w:szCs w:val="28"/>
              </w:rPr>
            </w:pPr>
          </w:p>
        </w:tc>
        <w:tc>
          <w:tcPr>
            <w:tcW w:w="1452"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职称</w:t>
            </w:r>
          </w:p>
        </w:tc>
        <w:tc>
          <w:tcPr>
            <w:tcW w:w="1440" w:type="dxa"/>
            <w:vAlign w:val="center"/>
          </w:tcPr>
          <w:p>
            <w:pPr>
              <w:adjustRightInd w:val="0"/>
              <w:snapToGrid w:val="0"/>
              <w:spacing w:line="40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620"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聘用单位</w:t>
            </w:r>
          </w:p>
        </w:tc>
        <w:tc>
          <w:tcPr>
            <w:tcW w:w="4668" w:type="dxa"/>
            <w:gridSpan w:val="4"/>
            <w:vAlign w:val="center"/>
          </w:tcPr>
          <w:p>
            <w:pPr>
              <w:adjustRightInd w:val="0"/>
              <w:snapToGrid w:val="0"/>
              <w:spacing w:line="400" w:lineRule="exact"/>
              <w:jc w:val="center"/>
              <w:rPr>
                <w:rFonts w:ascii="宋体" w:hAnsi="宋体"/>
                <w:color w:val="auto"/>
                <w:sz w:val="28"/>
                <w:szCs w:val="28"/>
              </w:rPr>
            </w:pPr>
          </w:p>
        </w:tc>
        <w:tc>
          <w:tcPr>
            <w:tcW w:w="1452"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聘用岗位</w:t>
            </w:r>
          </w:p>
        </w:tc>
        <w:tc>
          <w:tcPr>
            <w:tcW w:w="1440" w:type="dxa"/>
            <w:vAlign w:val="center"/>
          </w:tcPr>
          <w:p>
            <w:pPr>
              <w:adjustRightInd w:val="0"/>
              <w:snapToGrid w:val="0"/>
              <w:spacing w:line="40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1620"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奖惩情况</w:t>
            </w:r>
          </w:p>
        </w:tc>
        <w:tc>
          <w:tcPr>
            <w:tcW w:w="7560" w:type="dxa"/>
            <w:gridSpan w:val="6"/>
            <w:vAlign w:val="center"/>
          </w:tcPr>
          <w:p>
            <w:pPr>
              <w:adjustRightInd w:val="0"/>
              <w:snapToGrid w:val="0"/>
              <w:spacing w:line="40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1620" w:type="dxa"/>
            <w:vAlign w:val="center"/>
          </w:tcPr>
          <w:p>
            <w:pPr>
              <w:adjustRightInd w:val="0"/>
              <w:snapToGrid w:val="0"/>
              <w:spacing w:line="400" w:lineRule="exact"/>
              <w:jc w:val="center"/>
              <w:rPr>
                <w:rFonts w:ascii="宋体" w:hAnsi="宋体"/>
                <w:color w:val="auto"/>
                <w:sz w:val="28"/>
                <w:szCs w:val="28"/>
              </w:rPr>
            </w:pPr>
            <w:r>
              <w:rPr>
                <w:rFonts w:hint="eastAsia" w:ascii="宋体" w:hAnsi="宋体"/>
                <w:color w:val="auto"/>
                <w:sz w:val="28"/>
                <w:szCs w:val="28"/>
              </w:rPr>
              <w:t>简  历</w:t>
            </w:r>
          </w:p>
        </w:tc>
        <w:tc>
          <w:tcPr>
            <w:tcW w:w="7560" w:type="dxa"/>
            <w:gridSpan w:val="6"/>
            <w:vAlign w:val="center"/>
          </w:tcPr>
          <w:p>
            <w:pPr>
              <w:adjustRightInd w:val="0"/>
              <w:snapToGrid w:val="0"/>
              <w:spacing w:line="40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620" w:type="dxa"/>
            <w:vAlign w:val="center"/>
          </w:tcPr>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家庭成员</w:t>
            </w:r>
          </w:p>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及主要</w:t>
            </w:r>
          </w:p>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社会关系</w:t>
            </w:r>
          </w:p>
        </w:tc>
        <w:tc>
          <w:tcPr>
            <w:tcW w:w="7560" w:type="dxa"/>
            <w:gridSpan w:val="6"/>
            <w:vAlign w:val="center"/>
          </w:tcPr>
          <w:p>
            <w:pPr>
              <w:adjustRightInd w:val="0"/>
              <w:snapToGrid w:val="0"/>
              <w:spacing w:line="600" w:lineRule="exact"/>
              <w:jc w:val="center"/>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620" w:type="dxa"/>
            <w:vAlign w:val="center"/>
          </w:tcPr>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招聘企业</w:t>
            </w:r>
          </w:p>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意见</w:t>
            </w:r>
          </w:p>
          <w:p>
            <w:pPr>
              <w:adjustRightInd w:val="0"/>
              <w:snapToGrid w:val="0"/>
              <w:spacing w:line="600" w:lineRule="exact"/>
              <w:jc w:val="center"/>
              <w:rPr>
                <w:rFonts w:ascii="宋体" w:hAnsi="宋体"/>
                <w:color w:val="auto"/>
                <w:sz w:val="28"/>
                <w:szCs w:val="28"/>
              </w:rPr>
            </w:pPr>
          </w:p>
        </w:tc>
        <w:tc>
          <w:tcPr>
            <w:tcW w:w="7560" w:type="dxa"/>
            <w:gridSpan w:val="6"/>
            <w:vAlign w:val="center"/>
          </w:tcPr>
          <w:p>
            <w:pPr>
              <w:adjustRightInd w:val="0"/>
              <w:snapToGrid w:val="0"/>
              <w:spacing w:line="600" w:lineRule="exact"/>
              <w:jc w:val="center"/>
              <w:rPr>
                <w:rFonts w:ascii="宋体" w:hAnsi="宋体"/>
                <w:color w:val="auto"/>
                <w:sz w:val="28"/>
                <w:szCs w:val="28"/>
              </w:rPr>
            </w:pPr>
          </w:p>
          <w:p>
            <w:pPr>
              <w:adjustRightInd w:val="0"/>
              <w:snapToGrid w:val="0"/>
              <w:spacing w:line="600" w:lineRule="exact"/>
              <w:jc w:val="center"/>
              <w:rPr>
                <w:rFonts w:ascii="宋体" w:hAnsi="宋体"/>
                <w:color w:val="auto"/>
                <w:sz w:val="28"/>
                <w:szCs w:val="28"/>
              </w:rPr>
            </w:pPr>
          </w:p>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 xml:space="preserve">                                           （盖章）</w:t>
            </w:r>
          </w:p>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月</w:t>
            </w:r>
            <w:r>
              <w:rPr>
                <w:rFonts w:ascii="宋体" w:hAnsi="宋体"/>
                <w:color w:val="auto"/>
                <w:sz w:val="28"/>
                <w:szCs w:val="28"/>
              </w:rPr>
              <w:t xml:space="preserve">   </w:t>
            </w:r>
            <w:r>
              <w:rPr>
                <w:rFonts w:hint="eastAsia" w:ascii="宋体" w:hAnsi="宋体"/>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1620" w:type="dxa"/>
            <w:vAlign w:val="center"/>
          </w:tcPr>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主管部门</w:t>
            </w:r>
          </w:p>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意见</w:t>
            </w:r>
          </w:p>
        </w:tc>
        <w:tc>
          <w:tcPr>
            <w:tcW w:w="7560" w:type="dxa"/>
            <w:gridSpan w:val="6"/>
            <w:vAlign w:val="center"/>
          </w:tcPr>
          <w:p>
            <w:pPr>
              <w:adjustRightInd w:val="0"/>
              <w:snapToGrid w:val="0"/>
              <w:spacing w:line="600" w:lineRule="exact"/>
              <w:jc w:val="center"/>
              <w:rPr>
                <w:rFonts w:ascii="宋体" w:hAnsi="宋体"/>
                <w:color w:val="auto"/>
                <w:sz w:val="28"/>
                <w:szCs w:val="28"/>
              </w:rPr>
            </w:pPr>
          </w:p>
          <w:p>
            <w:pPr>
              <w:adjustRightInd w:val="0"/>
              <w:snapToGrid w:val="0"/>
              <w:spacing w:line="600" w:lineRule="exact"/>
              <w:ind w:firstLine="5997" w:firstLineChars="2142"/>
              <w:jc w:val="center"/>
              <w:rPr>
                <w:rFonts w:ascii="宋体" w:hAnsi="宋体"/>
                <w:color w:val="auto"/>
                <w:sz w:val="28"/>
                <w:szCs w:val="28"/>
              </w:rPr>
            </w:pPr>
            <w:r>
              <w:rPr>
                <w:rFonts w:hint="eastAsia" w:ascii="宋体" w:hAnsi="宋体"/>
                <w:color w:val="auto"/>
                <w:sz w:val="28"/>
                <w:szCs w:val="28"/>
              </w:rPr>
              <w:t>（盖章）</w:t>
            </w:r>
          </w:p>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月</w:t>
            </w:r>
            <w:r>
              <w:rPr>
                <w:rFonts w:ascii="宋体" w:hAnsi="宋体"/>
                <w:color w:val="auto"/>
                <w:sz w:val="28"/>
                <w:szCs w:val="28"/>
              </w:rPr>
              <w:t xml:space="preserve">   </w:t>
            </w:r>
            <w:r>
              <w:rPr>
                <w:rFonts w:hint="eastAsia" w:ascii="宋体" w:hAnsi="宋体"/>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620" w:type="dxa"/>
            <w:vAlign w:val="center"/>
          </w:tcPr>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国资部门</w:t>
            </w:r>
          </w:p>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意见</w:t>
            </w:r>
          </w:p>
        </w:tc>
        <w:tc>
          <w:tcPr>
            <w:tcW w:w="7560" w:type="dxa"/>
            <w:gridSpan w:val="6"/>
            <w:vAlign w:val="center"/>
          </w:tcPr>
          <w:p>
            <w:pPr>
              <w:adjustRightInd w:val="0"/>
              <w:snapToGrid w:val="0"/>
              <w:spacing w:line="600" w:lineRule="exact"/>
              <w:jc w:val="center"/>
              <w:rPr>
                <w:rFonts w:ascii="宋体" w:hAnsi="宋体"/>
                <w:color w:val="auto"/>
                <w:sz w:val="28"/>
                <w:szCs w:val="28"/>
              </w:rPr>
            </w:pPr>
          </w:p>
          <w:p>
            <w:pPr>
              <w:adjustRightInd w:val="0"/>
              <w:snapToGrid w:val="0"/>
              <w:spacing w:line="600" w:lineRule="exact"/>
              <w:jc w:val="center"/>
              <w:rPr>
                <w:rFonts w:ascii="宋体" w:hAnsi="宋体"/>
                <w:color w:val="auto"/>
                <w:sz w:val="28"/>
                <w:szCs w:val="28"/>
              </w:rPr>
            </w:pPr>
          </w:p>
          <w:p>
            <w:pPr>
              <w:adjustRightInd w:val="0"/>
              <w:snapToGrid w:val="0"/>
              <w:spacing w:line="600" w:lineRule="exact"/>
              <w:ind w:firstLine="5619" w:firstLineChars="2007"/>
              <w:jc w:val="center"/>
              <w:rPr>
                <w:rFonts w:ascii="宋体" w:hAnsi="宋体"/>
                <w:color w:val="auto"/>
                <w:sz w:val="28"/>
                <w:szCs w:val="28"/>
              </w:rPr>
            </w:pPr>
            <w:r>
              <w:rPr>
                <w:rFonts w:hint="eastAsia" w:ascii="宋体" w:hAnsi="宋体"/>
                <w:color w:val="auto"/>
                <w:sz w:val="28"/>
                <w:szCs w:val="28"/>
              </w:rPr>
              <w:t>（盖章）</w:t>
            </w:r>
          </w:p>
          <w:p>
            <w:pPr>
              <w:adjustRightInd w:val="0"/>
              <w:snapToGrid w:val="0"/>
              <w:spacing w:line="600" w:lineRule="exact"/>
              <w:jc w:val="center"/>
              <w:rPr>
                <w:rFonts w:ascii="宋体" w:hAnsi="宋体"/>
                <w:color w:val="auto"/>
                <w:sz w:val="28"/>
                <w:szCs w:val="28"/>
              </w:rPr>
            </w:pP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月</w:t>
            </w:r>
            <w:r>
              <w:rPr>
                <w:rFonts w:ascii="宋体" w:hAnsi="宋体"/>
                <w:color w:val="auto"/>
                <w:sz w:val="28"/>
                <w:szCs w:val="28"/>
              </w:rPr>
              <w:t xml:space="preserve">   </w:t>
            </w:r>
            <w:r>
              <w:rPr>
                <w:rFonts w:hint="eastAsia" w:ascii="宋体" w:hAnsi="宋体"/>
                <w:color w:val="auto"/>
                <w:sz w:val="28"/>
                <w:szCs w:val="28"/>
              </w:rPr>
              <w:t>日</w:t>
            </w:r>
          </w:p>
        </w:tc>
      </w:tr>
    </w:tbl>
    <w:p>
      <w:pPr>
        <w:adjustRightInd w:val="0"/>
        <w:snapToGrid w:val="0"/>
        <w:spacing w:line="500" w:lineRule="exact"/>
        <w:rPr>
          <w:rFonts w:ascii="宋体" w:hAnsi="宋体"/>
          <w:color w:val="auto"/>
          <w:sz w:val="28"/>
        </w:rPr>
      </w:pPr>
      <w:r>
        <w:rPr>
          <w:rFonts w:hint="eastAsia" w:ascii="宋体" w:hAnsi="宋体"/>
          <w:color w:val="auto"/>
          <w:sz w:val="28"/>
        </w:rPr>
        <w:t>备注：此表一式叁份，县国资办、主管部门、聘用单位各留存一份。</w:t>
      </w:r>
    </w:p>
    <w:p>
      <w:pPr>
        <w:rPr>
          <w:color w:val="auto"/>
        </w:rPr>
      </w:pPr>
    </w:p>
    <w:sectPr>
      <w:footerReference r:id="rId3" w:type="default"/>
      <w:pgSz w:w="11906" w:h="16838"/>
      <w:pgMar w:top="1701" w:right="1474" w:bottom="1418"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AD5A6"/>
    <w:multiLevelType w:val="singleLevel"/>
    <w:tmpl w:val="1A9AD5A6"/>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mY2MjhiMzkwYzFiY2JmMzRhNGEyZWQ1NjIxODgifQ=="/>
  </w:docVars>
  <w:rsids>
    <w:rsidRoot w:val="0083746C"/>
    <w:rsid w:val="000325E5"/>
    <w:rsid w:val="00041E14"/>
    <w:rsid w:val="0004219E"/>
    <w:rsid w:val="00043099"/>
    <w:rsid w:val="00075327"/>
    <w:rsid w:val="000A6FC7"/>
    <w:rsid w:val="00164BFB"/>
    <w:rsid w:val="00187476"/>
    <w:rsid w:val="001A2E0A"/>
    <w:rsid w:val="001A4C8C"/>
    <w:rsid w:val="001B4F80"/>
    <w:rsid w:val="001C3D57"/>
    <w:rsid w:val="001F656A"/>
    <w:rsid w:val="0023160B"/>
    <w:rsid w:val="00247596"/>
    <w:rsid w:val="00257A05"/>
    <w:rsid w:val="0027292F"/>
    <w:rsid w:val="0028267F"/>
    <w:rsid w:val="003108C2"/>
    <w:rsid w:val="003171A6"/>
    <w:rsid w:val="003565BD"/>
    <w:rsid w:val="003636B2"/>
    <w:rsid w:val="0036433B"/>
    <w:rsid w:val="003B5EBB"/>
    <w:rsid w:val="00462AFA"/>
    <w:rsid w:val="00463539"/>
    <w:rsid w:val="004B5430"/>
    <w:rsid w:val="004B74F2"/>
    <w:rsid w:val="00542F0B"/>
    <w:rsid w:val="005537FA"/>
    <w:rsid w:val="00555AB5"/>
    <w:rsid w:val="005F2751"/>
    <w:rsid w:val="00650606"/>
    <w:rsid w:val="00660C0B"/>
    <w:rsid w:val="0068256B"/>
    <w:rsid w:val="006E3ACF"/>
    <w:rsid w:val="006F0A9A"/>
    <w:rsid w:val="00705738"/>
    <w:rsid w:val="00755360"/>
    <w:rsid w:val="00771C80"/>
    <w:rsid w:val="007754CA"/>
    <w:rsid w:val="007A1C86"/>
    <w:rsid w:val="007B51DA"/>
    <w:rsid w:val="007C2F55"/>
    <w:rsid w:val="00824763"/>
    <w:rsid w:val="00825D20"/>
    <w:rsid w:val="008362B5"/>
    <w:rsid w:val="00837463"/>
    <w:rsid w:val="0083746C"/>
    <w:rsid w:val="00852CE2"/>
    <w:rsid w:val="00881F7A"/>
    <w:rsid w:val="00886176"/>
    <w:rsid w:val="00886BD9"/>
    <w:rsid w:val="008A3A96"/>
    <w:rsid w:val="008D09A7"/>
    <w:rsid w:val="00950D85"/>
    <w:rsid w:val="009A54BA"/>
    <w:rsid w:val="009B345D"/>
    <w:rsid w:val="009B4256"/>
    <w:rsid w:val="009D30FF"/>
    <w:rsid w:val="009F2EDF"/>
    <w:rsid w:val="00A2668E"/>
    <w:rsid w:val="00A26EE2"/>
    <w:rsid w:val="00A83C77"/>
    <w:rsid w:val="00AA0067"/>
    <w:rsid w:val="00B437E4"/>
    <w:rsid w:val="00B8574F"/>
    <w:rsid w:val="00BC5BA6"/>
    <w:rsid w:val="00BE31E3"/>
    <w:rsid w:val="00C63DB6"/>
    <w:rsid w:val="00CB76DA"/>
    <w:rsid w:val="00D8151A"/>
    <w:rsid w:val="00D84969"/>
    <w:rsid w:val="00D86654"/>
    <w:rsid w:val="00D91E90"/>
    <w:rsid w:val="00DA7515"/>
    <w:rsid w:val="00DF05DB"/>
    <w:rsid w:val="00DF38BD"/>
    <w:rsid w:val="00E54D21"/>
    <w:rsid w:val="00E8525D"/>
    <w:rsid w:val="00EE4A9B"/>
    <w:rsid w:val="00EF4267"/>
    <w:rsid w:val="00F304A0"/>
    <w:rsid w:val="00F55904"/>
    <w:rsid w:val="00F85EDA"/>
    <w:rsid w:val="00F948BE"/>
    <w:rsid w:val="00F95674"/>
    <w:rsid w:val="00FD4C72"/>
    <w:rsid w:val="1F4B650E"/>
    <w:rsid w:val="231710AC"/>
    <w:rsid w:val="235216B1"/>
    <w:rsid w:val="32EC3CE5"/>
    <w:rsid w:val="37364BF4"/>
    <w:rsid w:val="3EC100D3"/>
    <w:rsid w:val="425D663B"/>
    <w:rsid w:val="594B6078"/>
    <w:rsid w:val="6BC3375B"/>
    <w:rsid w:val="6EB5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8</Pages>
  <Words>3543</Words>
  <Characters>3553</Characters>
  <Lines>100</Lines>
  <Paragraphs>28</Paragraphs>
  <TotalTime>0</TotalTime>
  <ScaleCrop>false</ScaleCrop>
  <LinksUpToDate>false</LinksUpToDate>
  <CharactersWithSpaces>3678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2018-05-24T01:19:00Z</dcterms:created>
  <dc:creator>NTKO</dc:creator>
  <cp:lastModifiedBy>温从字</cp:lastModifiedBy>
  <dcterms:modified xsi:type="dcterms:W3CDTF">2023-09-08T02:10:28Z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A9C7513DF72F45D69CE7E87257E40073_12</vt:lpwstr>
  </property>
</Properties>
</file>