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line="560" w:lineRule="exact"/>
        <w:ind w:firstLine="436" w:firstLineChars="100"/>
        <w:jc w:val="both"/>
        <w:rPr>
          <w:rFonts w:hint="eastAsia" w:ascii="小标宋" w:hAnsi="小标宋" w:eastAsia="小标宋" w:cs="小标宋"/>
          <w:color w:val="auto"/>
          <w:spacing w:val="-2"/>
          <w:sz w:val="44"/>
          <w:szCs w:val="44"/>
        </w:rPr>
      </w:pPr>
    </w:p>
    <w:p>
      <w:pPr>
        <w:autoSpaceDE/>
        <w:autoSpaceDN/>
        <w:spacing w:before="0" w:line="560" w:lineRule="exact"/>
        <w:ind w:firstLine="436" w:firstLineChars="100"/>
        <w:jc w:val="both"/>
        <w:rPr>
          <w:rFonts w:ascii="小标宋" w:hAnsi="小标宋" w:eastAsia="小标宋" w:cs="小标宋"/>
          <w:color w:val="auto"/>
          <w:spacing w:val="-1"/>
          <w:sz w:val="44"/>
          <w:szCs w:val="44"/>
        </w:rPr>
      </w:pPr>
      <w:r>
        <w:rPr>
          <w:rFonts w:hint="eastAsia" w:ascii="小标宋" w:hAnsi="小标宋" w:eastAsia="小标宋" w:cs="小标宋"/>
          <w:color w:val="auto"/>
          <w:spacing w:val="-2"/>
          <w:sz w:val="44"/>
          <w:szCs w:val="44"/>
        </w:rPr>
        <w:t>温州市鹿城区</w:t>
      </w:r>
      <w:r>
        <w:rPr>
          <w:rFonts w:hint="eastAsia" w:ascii="小标宋" w:hAnsi="小标宋" w:eastAsia="小标宋" w:cs="小标宋"/>
          <w:color w:val="auto"/>
          <w:spacing w:val="-1"/>
          <w:sz w:val="44"/>
          <w:szCs w:val="44"/>
        </w:rPr>
        <w:t>政府投资项目管理实施细则</w:t>
      </w:r>
    </w:p>
    <w:p>
      <w:pPr>
        <w:pStyle w:val="2"/>
        <w:autoSpaceDE/>
        <w:autoSpaceDN/>
        <w:spacing w:after="0" w:line="560" w:lineRule="exact"/>
        <w:ind w:firstLine="0" w:firstLineChars="0"/>
        <w:jc w:val="center"/>
        <w:rPr>
          <w:rFonts w:hint="eastAsia" w:ascii="小标宋" w:hAnsi="小标宋" w:eastAsia="小标宋" w:cs="小标宋"/>
          <w:color w:val="auto"/>
          <w:spacing w:val="-1"/>
          <w:sz w:val="44"/>
          <w:szCs w:val="44"/>
          <w:lang w:eastAsia="zh-CN"/>
        </w:rPr>
      </w:pPr>
      <w:r>
        <w:rPr>
          <w:rFonts w:hint="eastAsia" w:ascii="小标宋" w:hAnsi="小标宋" w:eastAsia="小标宋" w:cs="小标宋"/>
          <w:color w:val="auto"/>
          <w:spacing w:val="-1"/>
          <w:sz w:val="44"/>
          <w:szCs w:val="44"/>
          <w:lang w:eastAsia="zh-CN"/>
        </w:rPr>
        <w:t>（征求意见</w:t>
      </w:r>
      <w:bookmarkStart w:id="0" w:name="_GoBack"/>
      <w:bookmarkEnd w:id="0"/>
      <w:r>
        <w:rPr>
          <w:rFonts w:hint="eastAsia" w:ascii="小标宋" w:hAnsi="小标宋" w:eastAsia="小标宋" w:cs="小标宋"/>
          <w:color w:val="auto"/>
          <w:spacing w:val="-1"/>
          <w:sz w:val="44"/>
          <w:szCs w:val="44"/>
          <w:lang w:eastAsia="zh-CN"/>
        </w:rPr>
        <w:t>稿）</w:t>
      </w:r>
    </w:p>
    <w:p>
      <w:pPr>
        <w:rPr>
          <w:sz w:val="32"/>
          <w:szCs w:val="32"/>
          <w:lang w:eastAsia="zh-CN"/>
        </w:rPr>
      </w:pPr>
    </w:p>
    <w:p>
      <w:pPr>
        <w:keepNext w:val="0"/>
        <w:keepLines w:val="0"/>
        <w:pageBreakBefore w:val="0"/>
        <w:widowControl/>
        <w:kinsoku w:val="0"/>
        <w:wordWrap/>
        <w:overflowPunct/>
        <w:topLinePunct w:val="0"/>
        <w:autoSpaceDE/>
        <w:autoSpaceDN/>
        <w:bidi w:val="0"/>
        <w:adjustRightInd/>
        <w:snapToGrid/>
        <w:spacing w:line="580" w:lineRule="exact"/>
        <w:ind w:firstLine="664" w:firstLineChars="200"/>
        <w:jc w:val="both"/>
        <w:textAlignment w:val="baseline"/>
        <w:rPr>
          <w:rFonts w:ascii="黑体" w:hAnsi="黑体" w:eastAsia="黑体" w:cs="黑体"/>
          <w:color w:val="auto"/>
          <w:sz w:val="32"/>
          <w:szCs w:val="32"/>
        </w:rPr>
      </w:pPr>
      <w:r>
        <w:rPr>
          <w:rFonts w:ascii="黑体" w:hAnsi="黑体" w:eastAsia="黑体" w:cs="黑体"/>
          <w:color w:val="auto"/>
          <w:spacing w:val="6"/>
          <w:position w:val="4"/>
          <w:sz w:val="32"/>
          <w:szCs w:val="32"/>
        </w:rPr>
        <w:t>一</w:t>
      </w:r>
      <w:r>
        <w:rPr>
          <w:rFonts w:ascii="黑体" w:hAnsi="黑体" w:eastAsia="黑体" w:cs="黑体"/>
          <w:color w:val="auto"/>
          <w:spacing w:val="5"/>
          <w:position w:val="4"/>
          <w:sz w:val="32"/>
          <w:szCs w:val="32"/>
        </w:rPr>
        <w:t>、总则</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1．为规范政府投资项目管理，健全科学、民主的政府投</w:t>
      </w:r>
      <w:r>
        <w:rPr>
          <w:rFonts w:hint="eastAsia" w:ascii="仿宋_GB2312" w:hAnsi="仿宋_GB2312" w:eastAsia="仿宋_GB2312" w:cs="仿宋_GB2312"/>
          <w:color w:val="auto"/>
          <w:spacing w:val="3"/>
          <w:sz w:val="32"/>
          <w:szCs w:val="32"/>
        </w:rPr>
        <w:t>资</w:t>
      </w:r>
      <w:r>
        <w:rPr>
          <w:rFonts w:hint="eastAsia" w:ascii="仿宋_GB2312" w:hAnsi="仿宋_GB2312" w:eastAsia="仿宋_GB2312" w:cs="仿宋_GB2312"/>
          <w:color w:val="auto"/>
          <w:spacing w:val="10"/>
          <w:sz w:val="32"/>
          <w:szCs w:val="32"/>
        </w:rPr>
        <w:t>项</w:t>
      </w:r>
      <w:r>
        <w:rPr>
          <w:rFonts w:hint="eastAsia" w:ascii="仿宋_GB2312" w:hAnsi="仿宋_GB2312" w:eastAsia="仿宋_GB2312" w:cs="仿宋_GB2312"/>
          <w:color w:val="auto"/>
          <w:spacing w:val="5"/>
          <w:sz w:val="32"/>
          <w:szCs w:val="32"/>
        </w:rPr>
        <w:t>目决策和实施程序，优化投资结构，提高投资效益，根据有关</w:t>
      </w:r>
      <w:r>
        <w:rPr>
          <w:rFonts w:hint="eastAsia" w:ascii="仿宋_GB2312" w:hAnsi="仿宋_GB2312" w:eastAsia="仿宋_GB2312" w:cs="仿宋_GB2312"/>
          <w:color w:val="auto"/>
          <w:spacing w:val="16"/>
          <w:sz w:val="32"/>
          <w:szCs w:val="32"/>
        </w:rPr>
        <w:t>法</w:t>
      </w:r>
      <w:r>
        <w:rPr>
          <w:rFonts w:hint="eastAsia" w:ascii="仿宋_GB2312" w:hAnsi="仿宋_GB2312" w:eastAsia="仿宋_GB2312" w:cs="仿宋_GB2312"/>
          <w:color w:val="auto"/>
          <w:spacing w:val="11"/>
          <w:sz w:val="32"/>
          <w:szCs w:val="32"/>
        </w:rPr>
        <w:t>律</w:t>
      </w:r>
      <w:r>
        <w:rPr>
          <w:rFonts w:hint="eastAsia" w:ascii="仿宋_GB2312" w:hAnsi="仿宋_GB2312" w:eastAsia="仿宋_GB2312" w:cs="仿宋_GB2312"/>
          <w:color w:val="auto"/>
          <w:spacing w:val="8"/>
          <w:sz w:val="32"/>
          <w:szCs w:val="32"/>
        </w:rPr>
        <w:t>、法规，结合我区实际，制定本细则。</w:t>
      </w:r>
    </w:p>
    <w:p>
      <w:pPr>
        <w:keepNext w:val="0"/>
        <w:keepLines w:val="0"/>
        <w:pageBreakBefore w:val="0"/>
        <w:widowControl/>
        <w:kinsoku w:val="0"/>
        <w:wordWrap/>
        <w:overflowPunct/>
        <w:topLinePunct w:val="0"/>
        <w:autoSpaceDE/>
        <w:autoSpaceDN/>
        <w:bidi w:val="0"/>
        <w:adjustRightInd/>
        <w:snapToGrid/>
        <w:spacing w:line="580" w:lineRule="exact"/>
        <w:ind w:firstLine="63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2．鹿城区政府投资项</w:t>
      </w:r>
      <w:r>
        <w:rPr>
          <w:rFonts w:hint="eastAsia" w:ascii="仿宋_GB2312" w:hAnsi="仿宋_GB2312" w:eastAsia="仿宋_GB2312" w:cs="仿宋_GB2312"/>
          <w:color w:val="auto"/>
          <w:spacing w:val="-1"/>
          <w:sz w:val="32"/>
          <w:szCs w:val="32"/>
        </w:rPr>
        <w:t>目(以下简称项目)，是指利用区级</w:t>
      </w:r>
      <w:r>
        <w:rPr>
          <w:rFonts w:hint="eastAsia" w:ascii="仿宋_GB2312" w:hAnsi="仿宋_GB2312" w:eastAsia="仿宋_GB2312" w:cs="仿宋_GB2312"/>
          <w:color w:val="auto"/>
          <w:spacing w:val="-4"/>
          <w:sz w:val="32"/>
          <w:szCs w:val="32"/>
        </w:rPr>
        <w:t>一般公共预算、政府性</w:t>
      </w:r>
      <w:r>
        <w:rPr>
          <w:rFonts w:hint="eastAsia" w:ascii="仿宋_GB2312" w:hAnsi="仿宋_GB2312" w:eastAsia="仿宋_GB2312" w:cs="仿宋_GB2312"/>
          <w:color w:val="auto"/>
          <w:spacing w:val="-2"/>
          <w:sz w:val="32"/>
          <w:szCs w:val="32"/>
        </w:rPr>
        <w:t>基金预算安排的资金，采取直接投资方式、</w:t>
      </w:r>
      <w:r>
        <w:rPr>
          <w:rFonts w:hint="eastAsia" w:ascii="仿宋_GB2312" w:hAnsi="仿宋_GB2312" w:eastAsia="仿宋_GB2312" w:cs="仿宋_GB2312"/>
          <w:color w:val="auto"/>
          <w:spacing w:val="-4"/>
          <w:sz w:val="32"/>
          <w:szCs w:val="32"/>
        </w:rPr>
        <w:t>资本金注入方式进行固</w:t>
      </w:r>
      <w:r>
        <w:rPr>
          <w:rFonts w:hint="eastAsia" w:ascii="仿宋_GB2312" w:hAnsi="仿宋_GB2312" w:eastAsia="仿宋_GB2312" w:cs="仿宋_GB2312"/>
          <w:color w:val="auto"/>
          <w:spacing w:val="-2"/>
          <w:sz w:val="32"/>
          <w:szCs w:val="32"/>
        </w:rPr>
        <w:t>定资产投资建设的项目，包括新建、扩建、</w:t>
      </w:r>
      <w:r>
        <w:rPr>
          <w:rFonts w:hint="eastAsia" w:ascii="仿宋_GB2312" w:hAnsi="仿宋_GB2312" w:eastAsia="仿宋_GB2312" w:cs="仿宋_GB2312"/>
          <w:color w:val="auto"/>
          <w:spacing w:val="13"/>
          <w:sz w:val="32"/>
          <w:szCs w:val="32"/>
        </w:rPr>
        <w:t>改</w:t>
      </w:r>
      <w:r>
        <w:rPr>
          <w:rFonts w:hint="eastAsia" w:ascii="仿宋_GB2312" w:hAnsi="仿宋_GB2312" w:eastAsia="仿宋_GB2312" w:cs="仿宋_GB2312"/>
          <w:color w:val="auto"/>
          <w:spacing w:val="7"/>
          <w:sz w:val="32"/>
          <w:szCs w:val="32"/>
        </w:rPr>
        <w:t>建、技术改造、信息化等项目。</w:t>
      </w:r>
    </w:p>
    <w:p>
      <w:pPr>
        <w:keepNext w:val="0"/>
        <w:keepLines w:val="0"/>
        <w:pageBreakBefore w:val="0"/>
        <w:widowControl/>
        <w:kinsoku w:val="0"/>
        <w:wordWrap/>
        <w:overflowPunct/>
        <w:topLinePunct w:val="0"/>
        <w:autoSpaceDE/>
        <w:autoSpaceDN/>
        <w:bidi w:val="0"/>
        <w:adjustRightInd/>
        <w:snapToGrid/>
        <w:spacing w:line="580" w:lineRule="exact"/>
        <w:ind w:firstLine="632" w:firstLineChars="200"/>
        <w:jc w:val="both"/>
        <w:textAlignment w:val="baseline"/>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2"/>
          <w:sz w:val="32"/>
          <w:szCs w:val="32"/>
        </w:rPr>
        <w:t>3．区级国有企业、社会事业单位投资建设的项目，财</w:t>
      </w:r>
      <w:r>
        <w:rPr>
          <w:rFonts w:hint="eastAsia" w:ascii="仿宋_GB2312" w:hAnsi="仿宋_GB2312" w:eastAsia="仿宋_GB2312" w:cs="仿宋_GB2312"/>
          <w:color w:val="auto"/>
          <w:sz w:val="32"/>
          <w:szCs w:val="32"/>
        </w:rPr>
        <w:t>政部</w:t>
      </w:r>
      <w:r>
        <w:rPr>
          <w:rFonts w:hint="eastAsia" w:ascii="仿宋_GB2312" w:hAnsi="仿宋_GB2312" w:eastAsia="仿宋_GB2312" w:cs="仿宋_GB2312"/>
          <w:color w:val="auto"/>
          <w:spacing w:val="10"/>
          <w:sz w:val="32"/>
          <w:szCs w:val="32"/>
        </w:rPr>
        <w:t>门</w:t>
      </w:r>
      <w:r>
        <w:rPr>
          <w:rFonts w:hint="eastAsia" w:ascii="仿宋_GB2312" w:hAnsi="仿宋_GB2312" w:eastAsia="仿宋_GB2312" w:cs="仿宋_GB2312"/>
          <w:color w:val="auto"/>
          <w:spacing w:val="8"/>
          <w:sz w:val="32"/>
          <w:szCs w:val="32"/>
        </w:rPr>
        <w:t>明</w:t>
      </w:r>
      <w:r>
        <w:rPr>
          <w:rFonts w:hint="eastAsia" w:ascii="仿宋_GB2312" w:hAnsi="仿宋_GB2312" w:eastAsia="仿宋_GB2312" w:cs="仿宋_GB2312"/>
          <w:color w:val="auto"/>
          <w:spacing w:val="5"/>
          <w:sz w:val="32"/>
          <w:szCs w:val="32"/>
        </w:rPr>
        <w:t>确使用区级一般公共预算、政府性基金预算安排资金，并出</w:t>
      </w:r>
      <w:r>
        <w:rPr>
          <w:rFonts w:hint="eastAsia" w:ascii="仿宋_GB2312" w:hAnsi="仿宋_GB2312" w:eastAsia="仿宋_GB2312" w:cs="仿宋_GB2312"/>
          <w:color w:val="auto"/>
          <w:spacing w:val="10"/>
          <w:sz w:val="32"/>
          <w:szCs w:val="32"/>
        </w:rPr>
        <w:t>具</w:t>
      </w:r>
      <w:r>
        <w:rPr>
          <w:rFonts w:hint="eastAsia" w:ascii="仿宋_GB2312" w:hAnsi="仿宋_GB2312" w:eastAsia="仿宋_GB2312" w:cs="仿宋_GB2312"/>
          <w:color w:val="auto"/>
          <w:spacing w:val="8"/>
          <w:sz w:val="32"/>
          <w:szCs w:val="32"/>
        </w:rPr>
        <w:t>财</w:t>
      </w:r>
      <w:r>
        <w:rPr>
          <w:rFonts w:hint="eastAsia" w:ascii="仿宋_GB2312" w:hAnsi="仿宋_GB2312" w:eastAsia="仿宋_GB2312" w:cs="仿宋_GB2312"/>
          <w:color w:val="auto"/>
          <w:spacing w:val="5"/>
          <w:sz w:val="32"/>
          <w:szCs w:val="32"/>
        </w:rPr>
        <w:t>政统筹意见的，按照政府投资项目实行审批制管理。区级国</w:t>
      </w:r>
      <w:r>
        <w:rPr>
          <w:rFonts w:hint="eastAsia" w:ascii="仿宋_GB2312" w:hAnsi="仿宋_GB2312" w:eastAsia="仿宋_GB2312" w:cs="仿宋_GB2312"/>
          <w:color w:val="auto"/>
          <w:spacing w:val="10"/>
          <w:sz w:val="32"/>
          <w:szCs w:val="32"/>
        </w:rPr>
        <w:t>有</w:t>
      </w:r>
      <w:r>
        <w:rPr>
          <w:rFonts w:hint="eastAsia" w:ascii="仿宋_GB2312" w:hAnsi="仿宋_GB2312" w:eastAsia="仿宋_GB2312" w:cs="仿宋_GB2312"/>
          <w:color w:val="auto"/>
          <w:spacing w:val="8"/>
          <w:sz w:val="32"/>
          <w:szCs w:val="32"/>
        </w:rPr>
        <w:t>企</w:t>
      </w:r>
      <w:r>
        <w:rPr>
          <w:rFonts w:hint="eastAsia" w:ascii="仿宋_GB2312" w:hAnsi="仿宋_GB2312" w:eastAsia="仿宋_GB2312" w:cs="仿宋_GB2312"/>
          <w:color w:val="auto"/>
          <w:spacing w:val="5"/>
          <w:sz w:val="32"/>
          <w:szCs w:val="32"/>
        </w:rPr>
        <w:t>业、社会事业单位使用国有资本经营预算、自有资金进行固</w:t>
      </w:r>
      <w:r>
        <w:rPr>
          <w:rFonts w:hint="eastAsia" w:ascii="仿宋_GB2312" w:hAnsi="仿宋_GB2312" w:eastAsia="仿宋_GB2312" w:cs="仿宋_GB2312"/>
          <w:color w:val="auto"/>
          <w:spacing w:val="10"/>
          <w:sz w:val="32"/>
          <w:szCs w:val="32"/>
        </w:rPr>
        <w:t>定</w:t>
      </w:r>
      <w:r>
        <w:rPr>
          <w:rFonts w:hint="eastAsia" w:ascii="仿宋_GB2312" w:hAnsi="仿宋_GB2312" w:eastAsia="仿宋_GB2312" w:cs="仿宋_GB2312"/>
          <w:color w:val="auto"/>
          <w:spacing w:val="8"/>
          <w:sz w:val="32"/>
          <w:szCs w:val="32"/>
        </w:rPr>
        <w:t>资</w:t>
      </w:r>
      <w:r>
        <w:rPr>
          <w:rFonts w:hint="eastAsia" w:ascii="仿宋_GB2312" w:hAnsi="仿宋_GB2312" w:eastAsia="仿宋_GB2312" w:cs="仿宋_GB2312"/>
          <w:color w:val="auto"/>
          <w:spacing w:val="5"/>
          <w:sz w:val="32"/>
          <w:szCs w:val="32"/>
        </w:rPr>
        <w:t>产投资建设的项目，经区财政部门或国资主管部门确认不使</w:t>
      </w:r>
      <w:r>
        <w:rPr>
          <w:rFonts w:hint="eastAsia" w:ascii="仿宋_GB2312" w:hAnsi="仿宋_GB2312" w:eastAsia="仿宋_GB2312" w:cs="仿宋_GB2312"/>
          <w:color w:val="auto"/>
          <w:spacing w:val="10"/>
          <w:sz w:val="32"/>
          <w:szCs w:val="32"/>
        </w:rPr>
        <w:t>用</w:t>
      </w:r>
      <w:r>
        <w:rPr>
          <w:rFonts w:hint="eastAsia" w:ascii="仿宋_GB2312" w:hAnsi="仿宋_GB2312" w:eastAsia="仿宋_GB2312" w:cs="仿宋_GB2312"/>
          <w:color w:val="auto"/>
          <w:spacing w:val="8"/>
          <w:sz w:val="32"/>
          <w:szCs w:val="32"/>
        </w:rPr>
        <w:t>区</w:t>
      </w:r>
      <w:r>
        <w:rPr>
          <w:rFonts w:hint="eastAsia" w:ascii="仿宋_GB2312" w:hAnsi="仿宋_GB2312" w:eastAsia="仿宋_GB2312" w:cs="仿宋_GB2312"/>
          <w:color w:val="auto"/>
          <w:spacing w:val="5"/>
          <w:sz w:val="32"/>
          <w:szCs w:val="32"/>
        </w:rPr>
        <w:t>级一般公共预算、政府性基金预算安排资金，并出具企业自</w:t>
      </w:r>
      <w:r>
        <w:rPr>
          <w:rFonts w:hint="eastAsia" w:ascii="仿宋_GB2312" w:hAnsi="仿宋_GB2312" w:eastAsia="仿宋_GB2312" w:cs="仿宋_GB2312"/>
          <w:color w:val="auto"/>
          <w:spacing w:val="10"/>
          <w:sz w:val="32"/>
          <w:szCs w:val="32"/>
        </w:rPr>
        <w:t>筹</w:t>
      </w:r>
      <w:r>
        <w:rPr>
          <w:rFonts w:hint="eastAsia" w:ascii="仿宋_GB2312" w:hAnsi="仿宋_GB2312" w:eastAsia="仿宋_GB2312" w:cs="仿宋_GB2312"/>
          <w:color w:val="auto"/>
          <w:spacing w:val="8"/>
          <w:sz w:val="32"/>
          <w:szCs w:val="32"/>
        </w:rPr>
        <w:t>意</w:t>
      </w:r>
      <w:r>
        <w:rPr>
          <w:rFonts w:hint="eastAsia" w:ascii="仿宋_GB2312" w:hAnsi="仿宋_GB2312" w:eastAsia="仿宋_GB2312" w:cs="仿宋_GB2312"/>
          <w:color w:val="auto"/>
          <w:spacing w:val="5"/>
          <w:sz w:val="32"/>
          <w:szCs w:val="32"/>
        </w:rPr>
        <w:t>见的，依照企业投资项目管理有关规定和程序，实行核准制</w:t>
      </w:r>
      <w:r>
        <w:rPr>
          <w:rFonts w:hint="eastAsia" w:ascii="仿宋_GB2312" w:hAnsi="仿宋_GB2312" w:eastAsia="仿宋_GB2312" w:cs="仿宋_GB2312"/>
          <w:color w:val="auto"/>
          <w:spacing w:val="11"/>
          <w:sz w:val="32"/>
          <w:szCs w:val="32"/>
        </w:rPr>
        <w:t>或</w:t>
      </w:r>
      <w:r>
        <w:rPr>
          <w:rFonts w:hint="eastAsia" w:ascii="仿宋_GB2312" w:hAnsi="仿宋_GB2312" w:eastAsia="仿宋_GB2312" w:cs="仿宋_GB2312"/>
          <w:color w:val="auto"/>
          <w:spacing w:val="6"/>
          <w:sz w:val="32"/>
          <w:szCs w:val="32"/>
        </w:rPr>
        <w:t>备案制管理。</w:t>
      </w:r>
      <w:r>
        <w:rPr>
          <w:rFonts w:hint="eastAsia" w:ascii="仿宋_GB2312" w:hAnsi="仿宋_GB2312" w:eastAsia="仿宋_GB2312" w:cs="仿宋_GB2312"/>
          <w:color w:val="FF0000"/>
          <w:spacing w:val="5"/>
          <w:sz w:val="32"/>
          <w:szCs w:val="32"/>
        </w:rPr>
        <w:t>区级国有企业投资自筹资金的项目，所涉及的标后工程量管理等内容参照本实施细则执行。</w:t>
      </w:r>
    </w:p>
    <w:p>
      <w:pPr>
        <w:keepNext w:val="0"/>
        <w:keepLines w:val="0"/>
        <w:pageBreakBefore w:val="0"/>
        <w:widowControl/>
        <w:kinsoku w:val="0"/>
        <w:wordWrap/>
        <w:overflowPunct/>
        <w:topLinePunct w:val="0"/>
        <w:autoSpaceDE/>
        <w:autoSpaceDN/>
        <w:bidi w:val="0"/>
        <w:adjustRightInd/>
        <w:snapToGrid/>
        <w:spacing w:line="580" w:lineRule="exact"/>
        <w:ind w:firstLine="72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rPr>
        <w:t>4</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0"/>
          <w:sz w:val="32"/>
          <w:szCs w:val="32"/>
        </w:rPr>
        <w:t>政府投资方式包括直接投资方式、资本金注入、投资补</w:t>
      </w:r>
      <w:r>
        <w:rPr>
          <w:rFonts w:hint="eastAsia" w:ascii="仿宋_GB2312" w:hAnsi="仿宋_GB2312" w:eastAsia="仿宋_GB2312" w:cs="仿宋_GB2312"/>
          <w:color w:val="auto"/>
          <w:spacing w:val="8"/>
          <w:sz w:val="32"/>
          <w:szCs w:val="32"/>
        </w:rPr>
        <w:t>助、贷款贴</w:t>
      </w:r>
      <w:r>
        <w:rPr>
          <w:rFonts w:hint="eastAsia" w:ascii="仿宋_GB2312" w:hAnsi="仿宋_GB2312" w:eastAsia="仿宋_GB2312" w:cs="仿宋_GB2312"/>
          <w:color w:val="auto"/>
          <w:spacing w:val="5"/>
          <w:sz w:val="32"/>
          <w:szCs w:val="32"/>
        </w:rPr>
        <w:t>息</w:t>
      </w:r>
      <w:r>
        <w:rPr>
          <w:rFonts w:hint="eastAsia" w:ascii="仿宋_GB2312" w:hAnsi="仿宋_GB2312" w:eastAsia="仿宋_GB2312" w:cs="仿宋_GB2312"/>
          <w:color w:val="auto"/>
          <w:spacing w:val="4"/>
          <w:sz w:val="32"/>
          <w:szCs w:val="32"/>
        </w:rPr>
        <w:t>等四类。企业投资项目使用投资补助、贷款贴息方</w:t>
      </w:r>
      <w:r>
        <w:rPr>
          <w:rFonts w:hint="eastAsia" w:ascii="仿宋_GB2312" w:hAnsi="仿宋_GB2312" w:eastAsia="仿宋_GB2312" w:cs="仿宋_GB2312"/>
          <w:color w:val="auto"/>
          <w:spacing w:val="8"/>
          <w:sz w:val="32"/>
          <w:szCs w:val="32"/>
        </w:rPr>
        <w:t>式安排</w:t>
      </w:r>
      <w:r>
        <w:rPr>
          <w:rFonts w:hint="eastAsia" w:ascii="仿宋_GB2312" w:hAnsi="仿宋_GB2312" w:eastAsia="仿宋_GB2312" w:cs="仿宋_GB2312"/>
          <w:color w:val="auto"/>
          <w:spacing w:val="5"/>
          <w:sz w:val="32"/>
          <w:szCs w:val="32"/>
        </w:rPr>
        <w:t>的</w:t>
      </w:r>
      <w:r>
        <w:rPr>
          <w:rFonts w:hint="eastAsia" w:ascii="仿宋_GB2312" w:hAnsi="仿宋_GB2312" w:eastAsia="仿宋_GB2312" w:cs="仿宋_GB2312"/>
          <w:color w:val="auto"/>
          <w:spacing w:val="4"/>
          <w:sz w:val="32"/>
          <w:szCs w:val="32"/>
        </w:rPr>
        <w:t>政府投资资金的，可以依照企业投资项目管理有关规定</w:t>
      </w:r>
      <w:r>
        <w:rPr>
          <w:rFonts w:hint="eastAsia" w:ascii="仿宋_GB2312" w:hAnsi="仿宋_GB2312" w:eastAsia="仿宋_GB2312" w:cs="仿宋_GB2312"/>
          <w:color w:val="auto"/>
          <w:spacing w:val="9"/>
          <w:sz w:val="32"/>
          <w:szCs w:val="32"/>
        </w:rPr>
        <w:t>和</w:t>
      </w:r>
      <w:r>
        <w:rPr>
          <w:rFonts w:hint="eastAsia" w:ascii="仿宋_GB2312" w:hAnsi="仿宋_GB2312" w:eastAsia="仿宋_GB2312" w:cs="仿宋_GB2312"/>
          <w:color w:val="auto"/>
          <w:spacing w:val="8"/>
          <w:sz w:val="32"/>
          <w:szCs w:val="32"/>
        </w:rPr>
        <w:t>程序，实行核准制或备案制管理。</w:t>
      </w:r>
    </w:p>
    <w:p>
      <w:pPr>
        <w:keepNext w:val="0"/>
        <w:keepLines w:val="0"/>
        <w:pageBreakBefore w:val="0"/>
        <w:widowControl/>
        <w:kinsoku w:val="0"/>
        <w:wordWrap/>
        <w:overflowPunct/>
        <w:topLinePunct w:val="0"/>
        <w:autoSpaceDE/>
        <w:autoSpaceDN/>
        <w:bidi w:val="0"/>
        <w:adjustRightInd/>
        <w:snapToGrid/>
        <w:spacing w:line="580" w:lineRule="exact"/>
        <w:ind w:firstLine="676" w:firstLineChars="200"/>
        <w:jc w:val="both"/>
        <w:textAlignment w:val="baseline"/>
        <w:rPr>
          <w:rFonts w:ascii="黑体" w:hAnsi="黑体" w:eastAsia="黑体" w:cs="黑体"/>
          <w:color w:val="auto"/>
          <w:sz w:val="32"/>
          <w:szCs w:val="32"/>
        </w:rPr>
      </w:pPr>
      <w:r>
        <w:rPr>
          <w:rFonts w:ascii="黑体" w:hAnsi="黑体" w:eastAsia="黑体" w:cs="黑体"/>
          <w:color w:val="auto"/>
          <w:spacing w:val="9"/>
          <w:position w:val="2"/>
          <w:sz w:val="32"/>
          <w:szCs w:val="32"/>
        </w:rPr>
        <w:t>二、政府投资项目年度计划和前期计划管理</w:t>
      </w:r>
    </w:p>
    <w:p>
      <w:pPr>
        <w:keepNext w:val="0"/>
        <w:keepLines w:val="0"/>
        <w:pageBreakBefore w:val="0"/>
        <w:widowControl/>
        <w:kinsoku w:val="0"/>
        <w:wordWrap/>
        <w:overflowPunct/>
        <w:topLinePunct w:val="0"/>
        <w:autoSpaceDE/>
        <w:autoSpaceDN/>
        <w:bidi w:val="0"/>
        <w:adjustRightInd/>
        <w:snapToGrid/>
        <w:spacing w:line="580" w:lineRule="exact"/>
        <w:ind w:firstLine="63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5．区级政府投资项目实行年度</w:t>
      </w:r>
      <w:r>
        <w:rPr>
          <w:rFonts w:hint="eastAsia" w:ascii="仿宋_GB2312" w:hAnsi="仿宋_GB2312" w:eastAsia="仿宋_GB2312" w:cs="仿宋_GB2312"/>
          <w:color w:val="auto"/>
          <w:spacing w:val="-1"/>
          <w:sz w:val="32"/>
          <w:szCs w:val="32"/>
        </w:rPr>
        <w:t>计划和项目前期计划管理制</w:t>
      </w:r>
      <w:r>
        <w:rPr>
          <w:rFonts w:hint="eastAsia" w:ascii="仿宋_GB2312" w:hAnsi="仿宋_GB2312" w:eastAsia="仿宋_GB2312" w:cs="仿宋_GB2312"/>
          <w:color w:val="auto"/>
          <w:spacing w:val="10"/>
          <w:sz w:val="32"/>
          <w:szCs w:val="32"/>
        </w:rPr>
        <w:t>度，</w:t>
      </w:r>
      <w:r>
        <w:rPr>
          <w:rFonts w:hint="eastAsia" w:ascii="仿宋_GB2312" w:hAnsi="仿宋_GB2312" w:eastAsia="仿宋_GB2312" w:cs="仿宋_GB2312"/>
          <w:color w:val="auto"/>
          <w:spacing w:val="5"/>
          <w:sz w:val="32"/>
          <w:szCs w:val="32"/>
        </w:rPr>
        <w:t>作为政府投资建设项目决策生成、项目审批和项目建设管理</w:t>
      </w:r>
      <w:r>
        <w:rPr>
          <w:rFonts w:hint="eastAsia" w:ascii="仿宋_GB2312" w:hAnsi="仿宋_GB2312" w:eastAsia="仿宋_GB2312" w:cs="仿宋_GB2312"/>
          <w:color w:val="auto"/>
          <w:spacing w:val="6"/>
          <w:sz w:val="32"/>
          <w:szCs w:val="32"/>
        </w:rPr>
        <w:t>的重要基础。</w:t>
      </w:r>
    </w:p>
    <w:p>
      <w:pPr>
        <w:keepNext w:val="0"/>
        <w:keepLines w:val="0"/>
        <w:pageBreakBefore w:val="0"/>
        <w:widowControl/>
        <w:kinsoku w:val="0"/>
        <w:wordWrap/>
        <w:overflowPunct/>
        <w:topLinePunct w:val="0"/>
        <w:autoSpaceDE/>
        <w:autoSpaceDN/>
        <w:bidi w:val="0"/>
        <w:adjustRightInd/>
        <w:snapToGrid/>
        <w:spacing w:line="580" w:lineRule="exact"/>
        <w:ind w:firstLine="71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rPr>
        <w:t>6</w:t>
      </w:r>
      <w:r>
        <w:rPr>
          <w:rFonts w:hint="eastAsia" w:ascii="仿宋_GB2312" w:hAnsi="仿宋_GB2312" w:eastAsia="仿宋_GB2312" w:cs="仿宋_GB2312"/>
          <w:color w:val="auto"/>
          <w:spacing w:val="10"/>
          <w:sz w:val="32"/>
          <w:szCs w:val="32"/>
        </w:rPr>
        <w:t>．纳入政府投资年度计划的政府投资项目，可行性研究报</w:t>
      </w:r>
      <w:r>
        <w:rPr>
          <w:rFonts w:hint="eastAsia" w:ascii="仿宋_GB2312" w:hAnsi="仿宋_GB2312" w:eastAsia="仿宋_GB2312" w:cs="仿宋_GB2312"/>
          <w:color w:val="auto"/>
          <w:spacing w:val="12"/>
          <w:sz w:val="32"/>
          <w:szCs w:val="32"/>
        </w:rPr>
        <w:t>告应当</w:t>
      </w:r>
      <w:r>
        <w:rPr>
          <w:rFonts w:hint="eastAsia" w:ascii="仿宋_GB2312" w:hAnsi="仿宋_GB2312" w:eastAsia="仿宋_GB2312" w:cs="仿宋_GB2312"/>
          <w:color w:val="auto"/>
          <w:spacing w:val="9"/>
          <w:sz w:val="32"/>
          <w:szCs w:val="32"/>
        </w:rPr>
        <w:t>已</w:t>
      </w:r>
      <w:r>
        <w:rPr>
          <w:rFonts w:hint="eastAsia" w:ascii="仿宋_GB2312" w:hAnsi="仿宋_GB2312" w:eastAsia="仿宋_GB2312" w:cs="仿宋_GB2312"/>
          <w:color w:val="auto"/>
          <w:spacing w:val="6"/>
          <w:sz w:val="32"/>
          <w:szCs w:val="32"/>
        </w:rPr>
        <w:t>经批复；纳入前期计划的项目，应具有合理实际需求，</w:t>
      </w:r>
      <w:r>
        <w:rPr>
          <w:rFonts w:hint="eastAsia" w:ascii="仿宋_GB2312" w:hAnsi="仿宋_GB2312" w:eastAsia="仿宋_GB2312" w:cs="仿宋_GB2312"/>
          <w:color w:val="auto"/>
          <w:spacing w:val="12"/>
          <w:sz w:val="32"/>
          <w:szCs w:val="32"/>
        </w:rPr>
        <w:t>功能内</w:t>
      </w:r>
      <w:r>
        <w:rPr>
          <w:rFonts w:hint="eastAsia" w:ascii="仿宋_GB2312" w:hAnsi="仿宋_GB2312" w:eastAsia="仿宋_GB2312" w:cs="仿宋_GB2312"/>
          <w:color w:val="auto"/>
          <w:spacing w:val="9"/>
          <w:sz w:val="32"/>
          <w:szCs w:val="32"/>
        </w:rPr>
        <w:t>容</w:t>
      </w:r>
      <w:r>
        <w:rPr>
          <w:rFonts w:hint="eastAsia" w:ascii="仿宋_GB2312" w:hAnsi="仿宋_GB2312" w:eastAsia="仿宋_GB2312" w:cs="仿宋_GB2312"/>
          <w:color w:val="auto"/>
          <w:spacing w:val="6"/>
          <w:sz w:val="32"/>
          <w:szCs w:val="32"/>
        </w:rPr>
        <w:t>基本明确，选址清晰，建设规模及投资估算基本合理。</w:t>
      </w:r>
    </w:p>
    <w:p>
      <w:pPr>
        <w:keepNext w:val="0"/>
        <w:keepLines w:val="0"/>
        <w:pageBreakBefore w:val="0"/>
        <w:widowControl/>
        <w:kinsoku w:val="0"/>
        <w:wordWrap/>
        <w:overflowPunct/>
        <w:topLinePunct w:val="0"/>
        <w:autoSpaceDE/>
        <w:autoSpaceDN/>
        <w:bidi w:val="0"/>
        <w:adjustRightInd/>
        <w:snapToGrid/>
        <w:spacing w:line="580" w:lineRule="exact"/>
        <w:ind w:firstLine="63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7．区发改局于每年年末牵</w:t>
      </w:r>
      <w:r>
        <w:rPr>
          <w:rFonts w:hint="eastAsia" w:ascii="仿宋_GB2312" w:hAnsi="仿宋_GB2312" w:eastAsia="仿宋_GB2312" w:cs="仿宋_GB2312"/>
          <w:color w:val="auto"/>
          <w:spacing w:val="-1"/>
          <w:sz w:val="32"/>
          <w:szCs w:val="32"/>
        </w:rPr>
        <w:t>头开展下一年度的政府投资项目</w:t>
      </w:r>
      <w:r>
        <w:rPr>
          <w:rFonts w:hint="eastAsia" w:ascii="仿宋_GB2312" w:hAnsi="仿宋_GB2312" w:eastAsia="仿宋_GB2312" w:cs="仿宋_GB2312"/>
          <w:color w:val="auto"/>
          <w:spacing w:val="10"/>
          <w:sz w:val="32"/>
          <w:szCs w:val="32"/>
        </w:rPr>
        <w:t>年</w:t>
      </w:r>
      <w:r>
        <w:rPr>
          <w:rFonts w:hint="eastAsia" w:ascii="仿宋_GB2312" w:hAnsi="仿宋_GB2312" w:eastAsia="仿宋_GB2312" w:cs="仿宋_GB2312"/>
          <w:color w:val="auto"/>
          <w:spacing w:val="5"/>
          <w:sz w:val="32"/>
          <w:szCs w:val="32"/>
        </w:rPr>
        <w:t>度计划和前期计划申报。各行业主管部门、各街镇以及政府授</w:t>
      </w:r>
      <w:r>
        <w:rPr>
          <w:rFonts w:hint="eastAsia" w:ascii="仿宋_GB2312" w:hAnsi="仿宋_GB2312" w:eastAsia="仿宋_GB2312" w:cs="仿宋_GB2312"/>
          <w:color w:val="auto"/>
          <w:spacing w:val="9"/>
          <w:sz w:val="32"/>
          <w:szCs w:val="32"/>
        </w:rPr>
        <w:t>权</w:t>
      </w:r>
      <w:r>
        <w:rPr>
          <w:rFonts w:hint="eastAsia" w:ascii="仿宋_GB2312" w:hAnsi="仿宋_GB2312" w:eastAsia="仿宋_GB2312" w:cs="仿宋_GB2312"/>
          <w:color w:val="auto"/>
          <w:spacing w:val="5"/>
          <w:sz w:val="32"/>
          <w:szCs w:val="32"/>
        </w:rPr>
        <w:t>的国企、事业单位，按职责做好相关领域政府投资项目前期谋</w:t>
      </w:r>
      <w:r>
        <w:rPr>
          <w:rFonts w:hint="eastAsia" w:ascii="仿宋_GB2312" w:hAnsi="仿宋_GB2312" w:eastAsia="仿宋_GB2312" w:cs="仿宋_GB2312"/>
          <w:color w:val="auto"/>
          <w:spacing w:val="16"/>
          <w:sz w:val="32"/>
          <w:szCs w:val="32"/>
        </w:rPr>
        <w:t>划和</w:t>
      </w:r>
      <w:r>
        <w:rPr>
          <w:rFonts w:hint="eastAsia" w:ascii="仿宋_GB2312" w:hAnsi="仿宋_GB2312" w:eastAsia="仿宋_GB2312" w:cs="仿宋_GB2312"/>
          <w:color w:val="auto"/>
          <w:spacing w:val="9"/>
          <w:sz w:val="32"/>
          <w:szCs w:val="32"/>
        </w:rPr>
        <w:t>申</w:t>
      </w:r>
      <w:r>
        <w:rPr>
          <w:rFonts w:hint="eastAsia" w:ascii="仿宋_GB2312" w:hAnsi="仿宋_GB2312" w:eastAsia="仿宋_GB2312" w:cs="仿宋_GB2312"/>
          <w:color w:val="auto"/>
          <w:spacing w:val="8"/>
          <w:sz w:val="32"/>
          <w:szCs w:val="32"/>
        </w:rPr>
        <w:t>报，并按要求提交项目申请表和相关材料。</w:t>
      </w:r>
    </w:p>
    <w:p>
      <w:pPr>
        <w:keepNext w:val="0"/>
        <w:keepLines w:val="0"/>
        <w:pageBreakBefore w:val="0"/>
        <w:widowControl/>
        <w:kinsoku w:val="0"/>
        <w:wordWrap/>
        <w:overflowPunct/>
        <w:topLinePunct w:val="0"/>
        <w:autoSpaceDE/>
        <w:autoSpaceDN/>
        <w:bidi w:val="0"/>
        <w:adjustRightInd/>
        <w:snapToGrid/>
        <w:spacing w:line="580" w:lineRule="exact"/>
        <w:ind w:firstLine="63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8．区发改局按程序会同区</w:t>
      </w:r>
      <w:r>
        <w:rPr>
          <w:rFonts w:hint="eastAsia" w:ascii="仿宋_GB2312" w:hAnsi="仿宋_GB2312" w:eastAsia="仿宋_GB2312" w:cs="仿宋_GB2312"/>
          <w:color w:val="auto"/>
          <w:spacing w:val="-1"/>
          <w:sz w:val="32"/>
          <w:szCs w:val="32"/>
        </w:rPr>
        <w:t>财政局，结合当年区级政府投资</w:t>
      </w:r>
      <w:r>
        <w:rPr>
          <w:rFonts w:hint="eastAsia" w:ascii="仿宋_GB2312" w:hAnsi="仿宋_GB2312" w:eastAsia="仿宋_GB2312" w:cs="仿宋_GB2312"/>
          <w:color w:val="auto"/>
          <w:spacing w:val="10"/>
          <w:sz w:val="32"/>
          <w:szCs w:val="32"/>
        </w:rPr>
        <w:t>预</w:t>
      </w:r>
      <w:r>
        <w:rPr>
          <w:rFonts w:hint="eastAsia" w:ascii="仿宋_GB2312" w:hAnsi="仿宋_GB2312" w:eastAsia="仿宋_GB2312" w:cs="仿宋_GB2312"/>
          <w:color w:val="auto"/>
          <w:spacing w:val="6"/>
          <w:sz w:val="32"/>
          <w:szCs w:val="32"/>
        </w:rPr>
        <w:t>算</w:t>
      </w:r>
      <w:r>
        <w:rPr>
          <w:rFonts w:hint="eastAsia" w:ascii="仿宋_GB2312" w:hAnsi="仿宋_GB2312" w:eastAsia="仿宋_GB2312" w:cs="仿宋_GB2312"/>
          <w:color w:val="auto"/>
          <w:spacing w:val="5"/>
          <w:sz w:val="32"/>
          <w:szCs w:val="32"/>
        </w:rPr>
        <w:t>资金规模，综合考虑申报项目重要性、紧迫性、成熟度和资</w:t>
      </w:r>
      <w:r>
        <w:rPr>
          <w:rFonts w:hint="eastAsia" w:ascii="仿宋_GB2312" w:hAnsi="仿宋_GB2312" w:eastAsia="仿宋_GB2312" w:cs="仿宋_GB2312"/>
          <w:color w:val="auto"/>
          <w:spacing w:val="10"/>
          <w:sz w:val="32"/>
          <w:szCs w:val="32"/>
        </w:rPr>
        <w:t>金</w:t>
      </w:r>
      <w:r>
        <w:rPr>
          <w:rFonts w:hint="eastAsia" w:ascii="仿宋_GB2312" w:hAnsi="仿宋_GB2312" w:eastAsia="仿宋_GB2312" w:cs="仿宋_GB2312"/>
          <w:color w:val="auto"/>
          <w:spacing w:val="6"/>
          <w:sz w:val="32"/>
          <w:szCs w:val="32"/>
        </w:rPr>
        <w:t>来</w:t>
      </w:r>
      <w:r>
        <w:rPr>
          <w:rFonts w:hint="eastAsia" w:ascii="仿宋_GB2312" w:hAnsi="仿宋_GB2312" w:eastAsia="仿宋_GB2312" w:cs="仿宋_GB2312"/>
          <w:color w:val="auto"/>
          <w:spacing w:val="5"/>
          <w:sz w:val="32"/>
          <w:szCs w:val="32"/>
        </w:rPr>
        <w:t>源，编制政府投资年度计划和前期计划，安排具体项目，由</w:t>
      </w:r>
      <w:r>
        <w:rPr>
          <w:rFonts w:hint="eastAsia" w:ascii="仿宋_GB2312" w:hAnsi="仿宋_GB2312" w:eastAsia="仿宋_GB2312" w:cs="仿宋_GB2312"/>
          <w:color w:val="auto"/>
          <w:spacing w:val="7"/>
          <w:sz w:val="32"/>
          <w:szCs w:val="32"/>
        </w:rPr>
        <w:t>财政部门编入预算。</w:t>
      </w:r>
    </w:p>
    <w:p>
      <w:pPr>
        <w:keepNext w:val="0"/>
        <w:keepLines w:val="0"/>
        <w:pageBreakBefore w:val="0"/>
        <w:widowControl/>
        <w:kinsoku w:val="0"/>
        <w:wordWrap/>
        <w:overflowPunct/>
        <w:topLinePunct w:val="0"/>
        <w:autoSpaceDE/>
        <w:autoSpaceDN/>
        <w:bidi w:val="0"/>
        <w:adjustRightInd/>
        <w:snapToGrid/>
        <w:spacing w:line="580" w:lineRule="exact"/>
        <w:ind w:firstLine="71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rPr>
        <w:t>9</w:t>
      </w:r>
      <w:r>
        <w:rPr>
          <w:rFonts w:hint="eastAsia" w:ascii="仿宋_GB2312" w:hAnsi="仿宋_GB2312" w:eastAsia="仿宋_GB2312" w:cs="仿宋_GB2312"/>
          <w:color w:val="auto"/>
          <w:spacing w:val="10"/>
          <w:sz w:val="32"/>
          <w:szCs w:val="32"/>
        </w:rPr>
        <w:t>．政府投资年度计划纳入国民经济和社会发展计划，经区发</w:t>
      </w:r>
      <w:r>
        <w:rPr>
          <w:rFonts w:hint="eastAsia" w:ascii="仿宋_GB2312" w:hAnsi="仿宋_GB2312" w:eastAsia="仿宋_GB2312" w:cs="仿宋_GB2312"/>
          <w:color w:val="auto"/>
          <w:spacing w:val="8"/>
          <w:sz w:val="32"/>
          <w:szCs w:val="32"/>
        </w:rPr>
        <w:t>改</w:t>
      </w:r>
      <w:r>
        <w:rPr>
          <w:rFonts w:hint="eastAsia" w:ascii="仿宋_GB2312" w:hAnsi="仿宋_GB2312" w:eastAsia="仿宋_GB2312" w:cs="仿宋_GB2312"/>
          <w:color w:val="auto"/>
          <w:spacing w:val="5"/>
          <w:sz w:val="32"/>
          <w:szCs w:val="32"/>
        </w:rPr>
        <w:t>局和区财政局初审后，报请区政府常务会议审议后，报区人大</w:t>
      </w:r>
      <w:r>
        <w:rPr>
          <w:rFonts w:hint="eastAsia" w:ascii="仿宋_GB2312" w:hAnsi="仿宋_GB2312" w:eastAsia="仿宋_GB2312" w:cs="仿宋_GB2312"/>
          <w:color w:val="auto"/>
          <w:spacing w:val="4"/>
          <w:sz w:val="32"/>
          <w:szCs w:val="32"/>
        </w:rPr>
        <w:t>审议。</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10"/>
          <w:sz w:val="32"/>
          <w:szCs w:val="32"/>
        </w:rPr>
        <w:t>10</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5"/>
          <w:sz w:val="32"/>
          <w:szCs w:val="32"/>
        </w:rPr>
        <w:t>政府投资项目年度计划执行过程中，符合下列情形的， 可以按照有关规定调整计划：</w:t>
      </w:r>
    </w:p>
    <w:p>
      <w:pPr>
        <w:keepNext w:val="0"/>
        <w:keepLines w:val="0"/>
        <w:pageBreakBefore w:val="0"/>
        <w:widowControl/>
        <w:kinsoku w:val="0"/>
        <w:wordWrap/>
        <w:overflowPunct/>
        <w:topLinePunct w:val="0"/>
        <w:autoSpaceDE/>
        <w:autoSpaceDN/>
        <w:bidi w:val="0"/>
        <w:adjustRightInd/>
        <w:snapToGrid/>
        <w:spacing w:line="580" w:lineRule="exact"/>
        <w:ind w:firstLine="660" w:firstLineChars="200"/>
        <w:jc w:val="both"/>
        <w:textAlignment w:val="baseline"/>
        <w:rPr>
          <w:rFonts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(1)因自然灾害、事故灾难、社会安全事件等不可抗力因 素导致不能完成年度投资计划的项目；</w:t>
      </w:r>
    </w:p>
    <w:p>
      <w:pPr>
        <w:keepNext w:val="0"/>
        <w:keepLines w:val="0"/>
        <w:pageBreakBefore w:val="0"/>
        <w:widowControl/>
        <w:kinsoku w:val="0"/>
        <w:wordWrap/>
        <w:overflowPunct/>
        <w:topLinePunct w:val="0"/>
        <w:autoSpaceDE/>
        <w:autoSpaceDN/>
        <w:bidi w:val="0"/>
        <w:adjustRightInd/>
        <w:snapToGrid/>
        <w:spacing w:line="580" w:lineRule="exact"/>
        <w:ind w:firstLine="660" w:firstLineChars="200"/>
        <w:jc w:val="both"/>
        <w:textAlignment w:val="baseline"/>
        <w:rPr>
          <w:rFonts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(2)未列入政府投资年度计划的项目，年内确需开工建设的项目；</w:t>
      </w:r>
    </w:p>
    <w:p>
      <w:pPr>
        <w:keepNext w:val="0"/>
        <w:keepLines w:val="0"/>
        <w:pageBreakBefore w:val="0"/>
        <w:widowControl/>
        <w:kinsoku w:val="0"/>
        <w:wordWrap/>
        <w:overflowPunct/>
        <w:topLinePunct w:val="0"/>
        <w:autoSpaceDE/>
        <w:autoSpaceDN/>
        <w:bidi w:val="0"/>
        <w:adjustRightInd/>
        <w:snapToGrid/>
        <w:spacing w:line="580" w:lineRule="exact"/>
        <w:ind w:firstLine="660" w:firstLineChars="200"/>
        <w:jc w:val="both"/>
        <w:textAlignment w:val="baseline"/>
        <w:rPr>
          <w:rFonts w:ascii="仿宋_GB2312" w:hAnsi="仿宋_GB2312" w:eastAsia="仿宋_GB2312" w:cs="仿宋_GB2312"/>
          <w:strike/>
          <w:color w:val="auto"/>
          <w:spacing w:val="5"/>
          <w:sz w:val="32"/>
          <w:szCs w:val="32"/>
        </w:rPr>
      </w:pPr>
      <w:r>
        <w:rPr>
          <w:rFonts w:hint="eastAsia" w:ascii="仿宋_GB2312" w:hAnsi="仿宋_GB2312" w:eastAsia="仿宋_GB2312" w:cs="仿宋_GB2312"/>
          <w:color w:val="auto"/>
          <w:spacing w:val="5"/>
          <w:sz w:val="32"/>
          <w:szCs w:val="32"/>
        </w:rPr>
        <w:t>(3)年度计划内前期项目转为新开工。</w:t>
      </w:r>
    </w:p>
    <w:p>
      <w:pPr>
        <w:keepNext w:val="0"/>
        <w:keepLines w:val="0"/>
        <w:pageBreakBefore w:val="0"/>
        <w:widowControl/>
        <w:kinsoku w:val="0"/>
        <w:wordWrap/>
        <w:overflowPunct/>
        <w:topLinePunct w:val="0"/>
        <w:autoSpaceDE/>
        <w:autoSpaceDN/>
        <w:bidi w:val="0"/>
        <w:adjustRightInd/>
        <w:snapToGrid/>
        <w:spacing w:line="580" w:lineRule="exact"/>
        <w:ind w:firstLine="660" w:firstLineChars="200"/>
        <w:jc w:val="both"/>
        <w:textAlignment w:val="baseline"/>
        <w:rPr>
          <w:rFonts w:ascii="仿宋_GB2312" w:hAnsi="仿宋_GB2312" w:eastAsia="仿宋_GB2312" w:cs="仿宋_GB2312"/>
          <w:color w:val="auto"/>
          <w:spacing w:val="5"/>
          <w:sz w:val="32"/>
          <w:szCs w:val="32"/>
          <w:highlight w:val="yellow"/>
        </w:rPr>
      </w:pPr>
      <w:r>
        <w:rPr>
          <w:rFonts w:hint="eastAsia" w:ascii="仿宋_GB2312" w:hAnsi="仿宋_GB2312" w:eastAsia="仿宋_GB2312" w:cs="仿宋_GB2312"/>
          <w:color w:val="auto"/>
          <w:spacing w:val="5"/>
          <w:sz w:val="32"/>
          <w:szCs w:val="32"/>
        </w:rPr>
        <w:t>(4)其他特殊情况确需调整计划的项目。</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hint="default"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8"/>
          <w:sz w:val="32"/>
          <w:szCs w:val="32"/>
        </w:rPr>
        <w:t>11．</w:t>
      </w:r>
      <w:r>
        <w:rPr>
          <w:rFonts w:hint="default" w:ascii="仿宋_GB2312" w:hAnsi="仿宋_GB2312" w:eastAsia="仿宋_GB2312" w:cs="仿宋_GB2312"/>
          <w:color w:val="auto"/>
          <w:spacing w:val="5"/>
          <w:sz w:val="32"/>
          <w:szCs w:val="32"/>
        </w:rPr>
        <w:t>根据鹿城区重大项目前期生成决策机制，符合本细则第10条情形的项目计划调整，由发改、财政、行业主管部门等开展联合审查，形成统一意见报区主要领导决策。</w:t>
      </w:r>
    </w:p>
    <w:p>
      <w:pPr>
        <w:keepNext w:val="0"/>
        <w:keepLines w:val="0"/>
        <w:pageBreakBefore w:val="0"/>
        <w:widowControl/>
        <w:kinsoku w:val="0"/>
        <w:wordWrap/>
        <w:overflowPunct/>
        <w:topLinePunct w:val="0"/>
        <w:autoSpaceDE/>
        <w:autoSpaceDN/>
        <w:bidi w:val="0"/>
        <w:adjustRightInd/>
        <w:snapToGrid/>
        <w:spacing w:line="580" w:lineRule="exact"/>
        <w:ind w:firstLine="660" w:firstLineChars="200"/>
        <w:jc w:val="both"/>
        <w:textAlignment w:val="baseline"/>
        <w:rPr>
          <w:rFonts w:hint="eastAsia" w:ascii="仿宋_GB2312" w:hAnsi="仿宋_GB2312" w:eastAsia="仿宋_GB2312" w:cs="仿宋_GB2312"/>
          <w:color w:val="auto"/>
          <w:spacing w:val="5"/>
          <w:sz w:val="32"/>
          <w:szCs w:val="32"/>
        </w:rPr>
      </w:pPr>
      <w:r>
        <w:rPr>
          <w:rFonts w:hint="default" w:ascii="仿宋_GB2312" w:hAnsi="仿宋_GB2312" w:eastAsia="仿宋_GB2312" w:cs="仿宋_GB2312"/>
          <w:color w:val="auto"/>
          <w:spacing w:val="5"/>
          <w:sz w:val="32"/>
          <w:szCs w:val="32"/>
        </w:rPr>
        <w:t>区政府投资年度计划的中期调整需报区人大常委会审议。</w:t>
      </w:r>
      <w:r>
        <w:rPr>
          <w:rFonts w:hint="default" w:ascii="仿宋_GB2312" w:hAnsi="仿宋_GB2312" w:eastAsia="仿宋_GB2312" w:cs="仿宋_GB2312"/>
          <w:color w:val="auto"/>
          <w:spacing w:val="5"/>
          <w:sz w:val="32"/>
          <w:szCs w:val="32"/>
          <w:lang w:val="en-US" w:eastAsia="zh-CN"/>
        </w:rPr>
        <w:t xml:space="preserve"> </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12．对无正当理由不实施或年度投资计划进展严重滞后的</w:t>
      </w:r>
      <w:r>
        <w:rPr>
          <w:rFonts w:hint="eastAsia" w:ascii="仿宋_GB2312" w:hAnsi="仿宋_GB2312" w:eastAsia="仿宋_GB2312" w:cs="仿宋_GB2312"/>
          <w:color w:val="auto"/>
          <w:spacing w:val="3"/>
          <w:sz w:val="32"/>
          <w:szCs w:val="32"/>
        </w:rPr>
        <w:t>政</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0"/>
          <w:sz w:val="32"/>
          <w:szCs w:val="32"/>
        </w:rPr>
        <w:t>府</w:t>
      </w:r>
      <w:r>
        <w:rPr>
          <w:rFonts w:hint="eastAsia" w:ascii="仿宋_GB2312" w:hAnsi="仿宋_GB2312" w:eastAsia="仿宋_GB2312" w:cs="仿宋_GB2312"/>
          <w:color w:val="auto"/>
          <w:spacing w:val="6"/>
          <w:sz w:val="32"/>
          <w:szCs w:val="32"/>
        </w:rPr>
        <w:t>投</w:t>
      </w:r>
      <w:r>
        <w:rPr>
          <w:rFonts w:hint="eastAsia" w:ascii="仿宋_GB2312" w:hAnsi="仿宋_GB2312" w:eastAsia="仿宋_GB2312" w:cs="仿宋_GB2312"/>
          <w:color w:val="auto"/>
          <w:spacing w:val="5"/>
          <w:sz w:val="32"/>
          <w:szCs w:val="32"/>
        </w:rPr>
        <w:t>资项目，由区发改局会同相关部门核实后，报请区政府进行</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4"/>
          <w:sz w:val="32"/>
          <w:szCs w:val="32"/>
        </w:rPr>
        <w:t>约谈，并责令改</w:t>
      </w:r>
      <w:r>
        <w:rPr>
          <w:rFonts w:hint="eastAsia" w:ascii="仿宋_GB2312" w:hAnsi="仿宋_GB2312" w:eastAsia="仿宋_GB2312" w:cs="仿宋_GB2312"/>
          <w:color w:val="auto"/>
          <w:spacing w:val="-3"/>
          <w:sz w:val="32"/>
          <w:szCs w:val="32"/>
        </w:rPr>
        <w:t>正</w:t>
      </w:r>
      <w:r>
        <w:rPr>
          <w:rFonts w:hint="eastAsia" w:ascii="仿宋_GB2312" w:hAnsi="仿宋_GB2312" w:eastAsia="仿宋_GB2312" w:cs="仿宋_GB2312"/>
          <w:color w:val="auto"/>
          <w:spacing w:val="-2"/>
          <w:sz w:val="32"/>
          <w:szCs w:val="32"/>
        </w:rPr>
        <w:t>，情节严重的，报纪检监察部门依法追究责任。</w:t>
      </w:r>
    </w:p>
    <w:p>
      <w:pPr>
        <w:keepNext w:val="0"/>
        <w:keepLines w:val="0"/>
        <w:pageBreakBefore w:val="0"/>
        <w:widowControl/>
        <w:kinsoku w:val="0"/>
        <w:wordWrap/>
        <w:overflowPunct/>
        <w:topLinePunct w:val="0"/>
        <w:autoSpaceDE/>
        <w:autoSpaceDN/>
        <w:bidi w:val="0"/>
        <w:adjustRightInd/>
        <w:snapToGrid/>
        <w:spacing w:line="580" w:lineRule="exact"/>
        <w:ind w:firstLine="700" w:firstLineChars="200"/>
        <w:jc w:val="both"/>
        <w:textAlignment w:val="baseline"/>
        <w:rPr>
          <w:rFonts w:ascii="黑体" w:hAnsi="黑体" w:eastAsia="黑体" w:cs="黑体"/>
          <w:color w:val="auto"/>
          <w:sz w:val="32"/>
          <w:szCs w:val="32"/>
        </w:rPr>
      </w:pPr>
      <w:r>
        <w:rPr>
          <w:rFonts w:ascii="黑体" w:hAnsi="黑体" w:eastAsia="黑体" w:cs="黑体"/>
          <w:color w:val="auto"/>
          <w:spacing w:val="15"/>
          <w:sz w:val="32"/>
          <w:szCs w:val="32"/>
        </w:rPr>
        <w:t>三</w:t>
      </w:r>
      <w:r>
        <w:rPr>
          <w:rFonts w:ascii="黑体" w:hAnsi="黑体" w:eastAsia="黑体" w:cs="黑体"/>
          <w:color w:val="auto"/>
          <w:spacing w:val="8"/>
          <w:sz w:val="32"/>
          <w:szCs w:val="32"/>
        </w:rPr>
        <w:t>、政府投资项目审批程序管理</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13．政府投资项目必须通过浙江政务网投资项目在线审批</w:t>
      </w:r>
      <w:r>
        <w:rPr>
          <w:rFonts w:hint="eastAsia" w:ascii="仿宋_GB2312" w:hAnsi="仿宋_GB2312" w:eastAsia="仿宋_GB2312" w:cs="仿宋_GB2312"/>
          <w:color w:val="auto"/>
          <w:spacing w:val="3"/>
          <w:sz w:val="32"/>
          <w:szCs w:val="32"/>
        </w:rPr>
        <w:t>监</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2"/>
          <w:sz w:val="32"/>
          <w:szCs w:val="32"/>
        </w:rPr>
        <w:t>管平台系统进行赋码和相关报批，确保平台全面应用“4</w:t>
      </w:r>
      <w:r>
        <w:rPr>
          <w:rFonts w:hint="eastAsia" w:ascii="仿宋_GB2312" w:hAnsi="仿宋_GB2312" w:eastAsia="仿宋_GB2312" w:cs="仿宋_GB2312"/>
          <w:color w:val="auto"/>
          <w:spacing w:val="18"/>
          <w:sz w:val="32"/>
          <w:szCs w:val="32"/>
        </w:rPr>
        <w:t>个1</w:t>
      </w:r>
      <w:r>
        <w:rPr>
          <w:rFonts w:hint="eastAsia" w:ascii="仿宋_GB2312" w:hAnsi="仿宋_GB2312" w:eastAsia="仿宋_GB2312" w:cs="仿宋_GB2312"/>
          <w:color w:val="auto"/>
          <w:spacing w:val="14"/>
          <w:sz w:val="32"/>
          <w:szCs w:val="32"/>
        </w:rPr>
        <w:t>0</w:t>
      </w:r>
      <w:r>
        <w:rPr>
          <w:rFonts w:hint="eastAsia" w:ascii="仿宋_GB2312" w:hAnsi="仿宋_GB2312" w:eastAsia="仿宋_GB2312" w:cs="仿宋_GB2312"/>
          <w:color w:val="auto"/>
          <w:spacing w:val="9"/>
          <w:sz w:val="32"/>
          <w:szCs w:val="32"/>
        </w:rPr>
        <w:t>0%”：投资项目事项 100%通过投资在线审批平台网上申报、</w:t>
      </w:r>
      <w:r>
        <w:rPr>
          <w:rFonts w:hint="eastAsia" w:ascii="仿宋_GB2312" w:hAnsi="仿宋_GB2312" w:eastAsia="仿宋_GB2312" w:cs="仿宋_GB2312"/>
          <w:color w:val="auto"/>
          <w:spacing w:val="8"/>
          <w:sz w:val="32"/>
          <w:szCs w:val="32"/>
        </w:rPr>
        <w:t>100%</w:t>
      </w:r>
      <w:r>
        <w:rPr>
          <w:rFonts w:hint="eastAsia" w:ascii="仿宋_GB2312" w:hAnsi="仿宋_GB2312" w:eastAsia="仿宋_GB2312" w:cs="仿宋_GB2312"/>
          <w:color w:val="auto"/>
          <w:spacing w:val="7"/>
          <w:sz w:val="32"/>
          <w:szCs w:val="32"/>
        </w:rPr>
        <w:t>通</w:t>
      </w:r>
      <w:r>
        <w:rPr>
          <w:rFonts w:hint="eastAsia" w:ascii="仿宋_GB2312" w:hAnsi="仿宋_GB2312" w:eastAsia="仿宋_GB2312" w:cs="仿宋_GB2312"/>
          <w:color w:val="auto"/>
          <w:spacing w:val="4"/>
          <w:sz w:val="32"/>
          <w:szCs w:val="32"/>
        </w:rPr>
        <w:t>过投资在线审批平台网上审批、100%通过投资在线审批平</w:t>
      </w:r>
      <w:r>
        <w:rPr>
          <w:rFonts w:hint="eastAsia" w:ascii="仿宋_GB2312" w:hAnsi="仿宋_GB2312" w:eastAsia="仿宋_GB2312" w:cs="仿宋_GB2312"/>
          <w:color w:val="auto"/>
          <w:spacing w:val="8"/>
          <w:sz w:val="32"/>
          <w:szCs w:val="32"/>
        </w:rPr>
        <w:t>台出具批文、100%全流程项目审批覆盖</w:t>
      </w:r>
      <w:r>
        <w:rPr>
          <w:rFonts w:hint="eastAsia" w:ascii="仿宋_GB2312" w:hAnsi="仿宋_GB2312" w:eastAsia="仿宋_GB2312" w:cs="仿宋_GB2312"/>
          <w:color w:val="auto"/>
          <w:spacing w:val="4"/>
          <w:sz w:val="32"/>
          <w:szCs w:val="32"/>
        </w:rPr>
        <w:t>。</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4"/>
          <w:sz w:val="32"/>
          <w:szCs w:val="32"/>
        </w:rPr>
        <w:t>14．政府投资项目实行统一项目代码制度，代码是项目的唯</w:t>
      </w:r>
      <w:r>
        <w:rPr>
          <w:rFonts w:hint="eastAsia" w:ascii="仿宋_GB2312" w:hAnsi="仿宋_GB2312" w:eastAsia="仿宋_GB2312" w:cs="仿宋_GB2312"/>
          <w:color w:val="auto"/>
          <w:spacing w:val="10"/>
          <w:sz w:val="32"/>
          <w:szCs w:val="32"/>
        </w:rPr>
        <w:t>一身</w:t>
      </w:r>
      <w:r>
        <w:rPr>
          <w:rFonts w:hint="eastAsia" w:ascii="仿宋_GB2312" w:hAnsi="仿宋_GB2312" w:eastAsia="仿宋_GB2312" w:cs="仿宋_GB2312"/>
          <w:color w:val="auto"/>
          <w:spacing w:val="6"/>
          <w:sz w:val="32"/>
          <w:szCs w:val="32"/>
        </w:rPr>
        <w:t>份</w:t>
      </w:r>
      <w:r>
        <w:rPr>
          <w:rFonts w:hint="eastAsia" w:ascii="仿宋_GB2312" w:hAnsi="仿宋_GB2312" w:eastAsia="仿宋_GB2312" w:cs="仿宋_GB2312"/>
          <w:color w:val="auto"/>
          <w:spacing w:val="5"/>
          <w:sz w:val="32"/>
          <w:szCs w:val="32"/>
        </w:rPr>
        <w:t>标志，项目代码实行“一项一码”。项目单位应当在项目</w:t>
      </w:r>
      <w:r>
        <w:rPr>
          <w:rFonts w:hint="eastAsia" w:ascii="仿宋_GB2312" w:hAnsi="仿宋_GB2312" w:eastAsia="仿宋_GB2312" w:cs="仿宋_GB2312"/>
          <w:color w:val="auto"/>
          <w:spacing w:val="10"/>
          <w:sz w:val="32"/>
          <w:szCs w:val="32"/>
        </w:rPr>
        <w:t>审</w:t>
      </w:r>
      <w:r>
        <w:rPr>
          <w:rFonts w:hint="eastAsia" w:ascii="仿宋_GB2312" w:hAnsi="仿宋_GB2312" w:eastAsia="仿宋_GB2312" w:cs="仿宋_GB2312"/>
          <w:color w:val="auto"/>
          <w:spacing w:val="8"/>
          <w:sz w:val="32"/>
          <w:szCs w:val="32"/>
        </w:rPr>
        <w:t>批</w:t>
      </w:r>
      <w:r>
        <w:rPr>
          <w:rFonts w:hint="eastAsia" w:ascii="仿宋_GB2312" w:hAnsi="仿宋_GB2312" w:eastAsia="仿宋_GB2312" w:cs="仿宋_GB2312"/>
          <w:color w:val="auto"/>
          <w:spacing w:val="5"/>
          <w:sz w:val="32"/>
          <w:szCs w:val="32"/>
        </w:rPr>
        <w:t>事项办理前申请赋码，应用管理部门凭码办理，应当统一使</w:t>
      </w:r>
      <w:r>
        <w:rPr>
          <w:rFonts w:hint="eastAsia" w:ascii="仿宋_GB2312" w:hAnsi="仿宋_GB2312" w:eastAsia="仿宋_GB2312" w:cs="仿宋_GB2312"/>
          <w:color w:val="auto"/>
          <w:spacing w:val="11"/>
          <w:sz w:val="32"/>
          <w:szCs w:val="32"/>
        </w:rPr>
        <w:t>用</w:t>
      </w:r>
      <w:r>
        <w:rPr>
          <w:rFonts w:hint="eastAsia" w:ascii="仿宋_GB2312" w:hAnsi="仿宋_GB2312" w:eastAsia="仿宋_GB2312" w:cs="仿宋_GB2312"/>
          <w:color w:val="auto"/>
          <w:spacing w:val="9"/>
          <w:sz w:val="32"/>
          <w:szCs w:val="32"/>
        </w:rPr>
        <w:t xml:space="preserve">项目代码办理项目审批到竣工验收以及运营管理的全过程。     </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15．政府投资项目建设单位按规定编制项目建议书、可行性</w:t>
      </w:r>
      <w:r>
        <w:rPr>
          <w:rFonts w:hint="eastAsia" w:ascii="仿宋_GB2312" w:hAnsi="仿宋_GB2312" w:eastAsia="仿宋_GB2312" w:cs="仿宋_GB2312"/>
          <w:color w:val="auto"/>
          <w:spacing w:val="10"/>
          <w:sz w:val="32"/>
          <w:szCs w:val="32"/>
        </w:rPr>
        <w:t>研究报</w:t>
      </w:r>
      <w:r>
        <w:rPr>
          <w:rFonts w:hint="eastAsia" w:ascii="仿宋_GB2312" w:hAnsi="仿宋_GB2312" w:eastAsia="仿宋_GB2312" w:cs="仿宋_GB2312"/>
          <w:color w:val="auto"/>
          <w:spacing w:val="7"/>
          <w:sz w:val="32"/>
          <w:szCs w:val="32"/>
        </w:rPr>
        <w:t>告</w:t>
      </w:r>
      <w:r>
        <w:rPr>
          <w:rFonts w:hint="eastAsia" w:ascii="仿宋_GB2312" w:hAnsi="仿宋_GB2312" w:eastAsia="仿宋_GB2312" w:cs="仿宋_GB2312"/>
          <w:color w:val="auto"/>
          <w:spacing w:val="5"/>
          <w:sz w:val="32"/>
          <w:szCs w:val="32"/>
        </w:rPr>
        <w:t>、初步设计，并负责将各联审部门审查反馈意见修改完</w:t>
      </w:r>
      <w:r>
        <w:rPr>
          <w:rFonts w:hint="eastAsia" w:ascii="仿宋_GB2312" w:hAnsi="仿宋_GB2312" w:eastAsia="仿宋_GB2312" w:cs="仿宋_GB2312"/>
          <w:color w:val="auto"/>
          <w:spacing w:val="10"/>
          <w:sz w:val="32"/>
          <w:szCs w:val="32"/>
        </w:rPr>
        <w:t>善后的</w:t>
      </w:r>
      <w:r>
        <w:rPr>
          <w:rFonts w:hint="eastAsia" w:ascii="仿宋_GB2312" w:hAnsi="仿宋_GB2312" w:eastAsia="仿宋_GB2312" w:cs="仿宋_GB2312"/>
          <w:color w:val="auto"/>
          <w:spacing w:val="7"/>
          <w:sz w:val="32"/>
          <w:szCs w:val="32"/>
        </w:rPr>
        <w:t>文</w:t>
      </w:r>
      <w:r>
        <w:rPr>
          <w:rFonts w:hint="eastAsia" w:ascii="仿宋_GB2312" w:hAnsi="仿宋_GB2312" w:eastAsia="仿宋_GB2312" w:cs="仿宋_GB2312"/>
          <w:color w:val="auto"/>
          <w:spacing w:val="5"/>
          <w:sz w:val="32"/>
          <w:szCs w:val="32"/>
        </w:rPr>
        <w:t>本及其他相关材料上传投资在线审批平台。建设单位对</w:t>
      </w:r>
      <w:r>
        <w:rPr>
          <w:rFonts w:hint="eastAsia" w:ascii="仿宋_GB2312" w:hAnsi="仿宋_GB2312" w:eastAsia="仿宋_GB2312" w:cs="仿宋_GB2312"/>
          <w:color w:val="auto"/>
          <w:spacing w:val="14"/>
          <w:sz w:val="32"/>
          <w:szCs w:val="32"/>
        </w:rPr>
        <w:t>上</w:t>
      </w:r>
      <w:r>
        <w:rPr>
          <w:rFonts w:hint="eastAsia" w:ascii="仿宋_GB2312" w:hAnsi="仿宋_GB2312" w:eastAsia="仿宋_GB2312" w:cs="仿宋_GB2312"/>
          <w:color w:val="auto"/>
          <w:spacing w:val="9"/>
          <w:sz w:val="32"/>
          <w:szCs w:val="32"/>
        </w:rPr>
        <w:t>传申报材料的真实性、合规性、完整性负责。</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16.为简化审批流程，提高审批效率，政府投资项目可以合并编制和审批项目建议书、可行性研究报告、原则上只审批可行性研究报告（代项目建议书）。</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4"/>
          <w:sz w:val="32"/>
          <w:szCs w:val="32"/>
        </w:rPr>
        <w:t>17.</w:t>
      </w:r>
      <w:r>
        <w:rPr>
          <w:rFonts w:hint="eastAsia" w:ascii="仿宋_GB2312" w:hAnsi="仿宋_GB2312" w:eastAsia="仿宋_GB2312" w:cs="仿宋_GB2312"/>
          <w:color w:val="auto"/>
          <w:spacing w:val="5"/>
          <w:sz w:val="32"/>
          <w:szCs w:val="32"/>
          <w:lang w:val="en-US" w:eastAsia="zh-CN"/>
        </w:rPr>
        <w:t>以下政府投资项目可以合并编报和审批项目建议书、可</w:t>
      </w:r>
      <w:r>
        <w:rPr>
          <w:rFonts w:hint="default" w:ascii="仿宋_GB2312" w:hAnsi="仿宋_GB2312" w:eastAsia="仿宋_GB2312" w:cs="仿宋_GB2312"/>
          <w:color w:val="auto"/>
          <w:spacing w:val="5"/>
          <w:sz w:val="32"/>
          <w:szCs w:val="32"/>
          <w:lang w:val="en-US" w:eastAsia="zh-CN"/>
        </w:rPr>
        <w:t>行性研究报告、初步设计，只审批可行性研究报告：（1）总投资在2000万元以下的项目；（2）建设内容单一、技术方案简单、总投资5000万元以下的项目。</w:t>
      </w:r>
    </w:p>
    <w:p>
      <w:pPr>
        <w:keepNext w:val="0"/>
        <w:keepLines w:val="0"/>
        <w:pageBreakBefore w:val="0"/>
        <w:widowControl/>
        <w:kinsoku w:val="0"/>
        <w:wordWrap/>
        <w:overflowPunct/>
        <w:topLinePunct w:val="0"/>
        <w:autoSpaceDE/>
        <w:autoSpaceDN/>
        <w:bidi w:val="0"/>
        <w:adjustRightInd/>
        <w:snapToGrid/>
        <w:spacing w:line="580" w:lineRule="exact"/>
        <w:ind w:firstLine="692" w:firstLineChars="200"/>
        <w:jc w:val="both"/>
        <w:textAlignment w:val="baseline"/>
        <w:rPr>
          <w:rFonts w:ascii="黑体" w:hAnsi="黑体" w:eastAsia="黑体" w:cs="黑体"/>
          <w:color w:val="auto"/>
          <w:sz w:val="32"/>
          <w:szCs w:val="32"/>
        </w:rPr>
      </w:pPr>
      <w:r>
        <w:rPr>
          <w:rFonts w:ascii="黑体" w:hAnsi="黑体" w:eastAsia="黑体" w:cs="黑体"/>
          <w:color w:val="auto"/>
          <w:spacing w:val="13"/>
          <w:sz w:val="32"/>
          <w:szCs w:val="32"/>
        </w:rPr>
        <w:t>四</w:t>
      </w:r>
      <w:r>
        <w:rPr>
          <w:rFonts w:ascii="黑体" w:hAnsi="黑体" w:eastAsia="黑体" w:cs="黑体"/>
          <w:color w:val="auto"/>
          <w:spacing w:val="7"/>
          <w:sz w:val="32"/>
          <w:szCs w:val="32"/>
        </w:rPr>
        <w:t>、咨询评估、联审会议制度</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18．强化投资决策在政府投资项目过程管理中的作用，特别</w:t>
      </w:r>
      <w:r>
        <w:rPr>
          <w:rFonts w:hint="eastAsia" w:ascii="仿宋_GB2312" w:hAnsi="仿宋_GB2312" w:eastAsia="仿宋_GB2312" w:cs="仿宋_GB2312"/>
          <w:color w:val="auto"/>
          <w:spacing w:val="10"/>
          <w:sz w:val="32"/>
          <w:szCs w:val="32"/>
        </w:rPr>
        <w:t>是投</w:t>
      </w:r>
      <w:r>
        <w:rPr>
          <w:rFonts w:hint="eastAsia" w:ascii="仿宋_GB2312" w:hAnsi="仿宋_GB2312" w:eastAsia="仿宋_GB2312" w:cs="仿宋_GB2312"/>
          <w:color w:val="auto"/>
          <w:spacing w:val="9"/>
          <w:sz w:val="32"/>
          <w:szCs w:val="32"/>
        </w:rPr>
        <w:t>资</w:t>
      </w:r>
      <w:r>
        <w:rPr>
          <w:rFonts w:hint="eastAsia" w:ascii="仿宋_GB2312" w:hAnsi="仿宋_GB2312" w:eastAsia="仿宋_GB2312" w:cs="仿宋_GB2312"/>
          <w:color w:val="auto"/>
          <w:spacing w:val="5"/>
          <w:sz w:val="32"/>
          <w:szCs w:val="32"/>
        </w:rPr>
        <w:t>规模较大、建设周期长、技术条件复杂、对社会公众利益</w:t>
      </w:r>
      <w:r>
        <w:rPr>
          <w:rFonts w:hint="eastAsia" w:ascii="仿宋_GB2312" w:hAnsi="仿宋_GB2312" w:eastAsia="仿宋_GB2312" w:cs="仿宋_GB2312"/>
          <w:color w:val="auto"/>
          <w:spacing w:val="10"/>
          <w:sz w:val="32"/>
          <w:szCs w:val="32"/>
        </w:rPr>
        <w:t>有重</w:t>
      </w:r>
      <w:r>
        <w:rPr>
          <w:rFonts w:hint="eastAsia" w:ascii="仿宋_GB2312" w:hAnsi="仿宋_GB2312" w:eastAsia="仿宋_GB2312" w:cs="仿宋_GB2312"/>
          <w:color w:val="auto"/>
          <w:spacing w:val="9"/>
          <w:sz w:val="32"/>
          <w:szCs w:val="32"/>
        </w:rPr>
        <w:t>大</w:t>
      </w:r>
      <w:r>
        <w:rPr>
          <w:rFonts w:hint="eastAsia" w:ascii="仿宋_GB2312" w:hAnsi="仿宋_GB2312" w:eastAsia="仿宋_GB2312" w:cs="仿宋_GB2312"/>
          <w:color w:val="auto"/>
          <w:spacing w:val="5"/>
          <w:sz w:val="32"/>
          <w:szCs w:val="32"/>
        </w:rPr>
        <w:t>影响的政府投资项目，需开展项目可行性咨询评估、初步</w:t>
      </w:r>
      <w:r>
        <w:rPr>
          <w:rFonts w:hint="eastAsia" w:ascii="仿宋_GB2312" w:hAnsi="仿宋_GB2312" w:eastAsia="仿宋_GB2312" w:cs="仿宋_GB2312"/>
          <w:color w:val="auto"/>
          <w:spacing w:val="10"/>
          <w:sz w:val="32"/>
          <w:szCs w:val="32"/>
        </w:rPr>
        <w:t>设计</w:t>
      </w:r>
      <w:r>
        <w:rPr>
          <w:rFonts w:hint="eastAsia" w:ascii="仿宋_GB2312" w:hAnsi="仿宋_GB2312" w:eastAsia="仿宋_GB2312" w:cs="仿宋_GB2312"/>
          <w:color w:val="auto"/>
          <w:spacing w:val="9"/>
          <w:sz w:val="32"/>
          <w:szCs w:val="32"/>
        </w:rPr>
        <w:t>和</w:t>
      </w:r>
      <w:r>
        <w:rPr>
          <w:rFonts w:hint="eastAsia" w:ascii="仿宋_GB2312" w:hAnsi="仿宋_GB2312" w:eastAsia="仿宋_GB2312" w:cs="仿宋_GB2312"/>
          <w:color w:val="auto"/>
          <w:spacing w:val="5"/>
          <w:sz w:val="32"/>
          <w:szCs w:val="32"/>
        </w:rPr>
        <w:t>项目概算评估，提升项目投资决策水平、建设效率和综合</w:t>
      </w:r>
      <w:r>
        <w:rPr>
          <w:rFonts w:hint="eastAsia" w:ascii="仿宋_GB2312" w:hAnsi="仿宋_GB2312" w:eastAsia="仿宋_GB2312" w:cs="仿宋_GB2312"/>
          <w:color w:val="auto"/>
          <w:spacing w:val="4"/>
          <w:sz w:val="32"/>
          <w:szCs w:val="32"/>
        </w:rPr>
        <w:t>效</w:t>
      </w:r>
      <w:r>
        <w:rPr>
          <w:rFonts w:hint="eastAsia" w:ascii="仿宋_GB2312" w:hAnsi="仿宋_GB2312" w:eastAsia="仿宋_GB2312" w:cs="仿宋_GB2312"/>
          <w:color w:val="auto"/>
          <w:spacing w:val="3"/>
          <w:sz w:val="32"/>
          <w:szCs w:val="32"/>
        </w:rPr>
        <w:t>益。</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19</w:t>
      </w:r>
      <w:r>
        <w:rPr>
          <w:rFonts w:hint="eastAsia" w:ascii="仿宋_GB2312" w:hAnsi="仿宋_GB2312" w:eastAsia="仿宋_GB2312" w:cs="仿宋_GB2312"/>
          <w:color w:val="auto"/>
          <w:spacing w:val="4"/>
          <w:sz w:val="32"/>
          <w:szCs w:val="32"/>
        </w:rPr>
        <w:t>．政府投资项目建设单位应提交项目建议书和可行性研究</w:t>
      </w:r>
      <w:r>
        <w:rPr>
          <w:rFonts w:hint="eastAsia" w:ascii="仿宋_GB2312" w:hAnsi="仿宋_GB2312" w:eastAsia="仿宋_GB2312" w:cs="仿宋_GB2312"/>
          <w:color w:val="auto"/>
          <w:spacing w:val="5"/>
          <w:sz w:val="32"/>
          <w:szCs w:val="32"/>
        </w:rPr>
        <w:t>报告文本、初步设计文本。一般政府投资项目，可以由项目行</w:t>
      </w:r>
      <w:r>
        <w:rPr>
          <w:rFonts w:hint="eastAsia" w:ascii="仿宋_GB2312" w:hAnsi="仿宋_GB2312" w:eastAsia="仿宋_GB2312" w:cs="仿宋_GB2312"/>
          <w:color w:val="auto"/>
          <w:spacing w:val="4"/>
          <w:sz w:val="32"/>
          <w:szCs w:val="32"/>
        </w:rPr>
        <w:t>业</w:t>
      </w:r>
      <w:r>
        <w:rPr>
          <w:rFonts w:hint="eastAsia" w:ascii="仿宋_GB2312" w:hAnsi="仿宋_GB2312" w:eastAsia="仿宋_GB2312" w:cs="仿宋_GB2312"/>
          <w:color w:val="auto"/>
          <w:spacing w:val="32"/>
          <w:sz w:val="32"/>
          <w:szCs w:val="32"/>
        </w:rPr>
        <w:t>主</w:t>
      </w:r>
      <w:r>
        <w:rPr>
          <w:rFonts w:hint="eastAsia" w:ascii="仿宋_GB2312" w:hAnsi="仿宋_GB2312" w:eastAsia="仿宋_GB2312" w:cs="仿宋_GB2312"/>
          <w:color w:val="auto"/>
          <w:spacing w:val="16"/>
          <w:sz w:val="32"/>
          <w:szCs w:val="32"/>
        </w:rPr>
        <w:t>管部门通过组织评审或区发改局召开部门联审的方式对项目</w:t>
      </w:r>
      <w:r>
        <w:rPr>
          <w:rFonts w:hint="eastAsia" w:ascii="仿宋_GB2312" w:hAnsi="仿宋_GB2312" w:eastAsia="仿宋_GB2312" w:cs="仿宋_GB2312"/>
          <w:color w:val="auto"/>
          <w:spacing w:val="13"/>
          <w:sz w:val="32"/>
          <w:szCs w:val="32"/>
        </w:rPr>
        <w:t>可</w:t>
      </w:r>
      <w:r>
        <w:rPr>
          <w:rFonts w:hint="eastAsia" w:ascii="仿宋_GB2312" w:hAnsi="仿宋_GB2312" w:eastAsia="仿宋_GB2312" w:cs="仿宋_GB2312"/>
          <w:color w:val="auto"/>
          <w:spacing w:val="8"/>
          <w:sz w:val="32"/>
          <w:szCs w:val="32"/>
        </w:rPr>
        <w:t>行性、必要性、初步设计进行审核把关。</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0</w:t>
      </w:r>
      <w:r>
        <w:rPr>
          <w:rFonts w:hint="eastAsia" w:ascii="仿宋_GB2312" w:hAnsi="仿宋_GB2312" w:eastAsia="仿宋_GB2312" w:cs="仿宋_GB2312"/>
          <w:color w:val="auto"/>
          <w:spacing w:val="4"/>
          <w:sz w:val="32"/>
          <w:szCs w:val="32"/>
        </w:rPr>
        <w:t>．政府投资项目联合审查根据流程最优、环节最少、时间</w:t>
      </w:r>
      <w:r>
        <w:rPr>
          <w:rFonts w:hint="eastAsia" w:ascii="仿宋_GB2312" w:hAnsi="仿宋_GB2312" w:eastAsia="仿宋_GB2312" w:cs="仿宋_GB2312"/>
          <w:color w:val="auto"/>
          <w:spacing w:val="9"/>
          <w:sz w:val="32"/>
          <w:szCs w:val="32"/>
        </w:rPr>
        <w:t>最</w:t>
      </w:r>
      <w:r>
        <w:rPr>
          <w:rFonts w:hint="eastAsia" w:ascii="仿宋_GB2312" w:hAnsi="仿宋_GB2312" w:eastAsia="仿宋_GB2312" w:cs="仿宋_GB2312"/>
          <w:color w:val="auto"/>
          <w:spacing w:val="8"/>
          <w:sz w:val="32"/>
          <w:szCs w:val="32"/>
        </w:rPr>
        <w:t>短、服务最佳的原则，规定如下：</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1</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4"/>
          <w:sz w:val="32"/>
          <w:szCs w:val="32"/>
        </w:rPr>
        <w:t>在批复可行性研究报告、初步设计之前，宜开展联合</w:t>
      </w:r>
      <w:r>
        <w:rPr>
          <w:rFonts w:hint="eastAsia" w:ascii="仿宋_GB2312" w:hAnsi="仿宋_GB2312" w:eastAsia="仿宋_GB2312" w:cs="仿宋_GB2312"/>
          <w:color w:val="auto"/>
          <w:spacing w:val="-6"/>
          <w:sz w:val="32"/>
          <w:szCs w:val="32"/>
        </w:rPr>
        <w:t>审</w:t>
      </w:r>
      <w:r>
        <w:rPr>
          <w:rFonts w:hint="eastAsia" w:ascii="仿宋_GB2312" w:hAnsi="仿宋_GB2312" w:eastAsia="仿宋_GB2312" w:cs="仿宋_GB2312"/>
          <w:color w:val="auto"/>
          <w:spacing w:val="-5"/>
          <w:sz w:val="32"/>
          <w:szCs w:val="32"/>
        </w:rPr>
        <w:t>查。</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2</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
          <w:sz w:val="32"/>
          <w:szCs w:val="32"/>
        </w:rPr>
        <w:t>提早介入，已完成可行性研究</w:t>
      </w:r>
      <w:r>
        <w:rPr>
          <w:rFonts w:hint="eastAsia" w:ascii="仿宋_GB2312" w:hAnsi="仿宋_GB2312" w:eastAsia="仿宋_GB2312" w:cs="仿宋_GB2312"/>
          <w:color w:val="auto"/>
          <w:sz w:val="32"/>
          <w:szCs w:val="32"/>
        </w:rPr>
        <w:t>报告、初步设计文本的</w:t>
      </w:r>
      <w:r>
        <w:rPr>
          <w:rFonts w:hint="eastAsia" w:ascii="仿宋_GB2312" w:hAnsi="仿宋_GB2312" w:eastAsia="仿宋_GB2312" w:cs="仿宋_GB2312"/>
          <w:color w:val="auto"/>
          <w:spacing w:val="11"/>
          <w:sz w:val="32"/>
          <w:szCs w:val="32"/>
        </w:rPr>
        <w:t>即</w:t>
      </w:r>
      <w:r>
        <w:rPr>
          <w:rFonts w:hint="eastAsia" w:ascii="仿宋_GB2312" w:hAnsi="仿宋_GB2312" w:eastAsia="仿宋_GB2312" w:cs="仿宋_GB2312"/>
          <w:color w:val="auto"/>
          <w:spacing w:val="7"/>
          <w:sz w:val="32"/>
          <w:szCs w:val="32"/>
        </w:rPr>
        <w:t>可进行联合审查，如有必要可组织现场踏勘。</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3</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4"/>
          <w:sz w:val="32"/>
          <w:szCs w:val="32"/>
        </w:rPr>
        <w:t>联合</w:t>
      </w:r>
      <w:r>
        <w:rPr>
          <w:rFonts w:hint="eastAsia" w:ascii="仿宋_GB2312" w:hAnsi="仿宋_GB2312" w:eastAsia="仿宋_GB2312" w:cs="仿宋_GB2312"/>
          <w:color w:val="auto"/>
          <w:spacing w:val="-3"/>
          <w:sz w:val="32"/>
          <w:szCs w:val="32"/>
        </w:rPr>
        <w:t>审</w:t>
      </w:r>
      <w:r>
        <w:rPr>
          <w:rFonts w:hint="eastAsia" w:ascii="仿宋_GB2312" w:hAnsi="仿宋_GB2312" w:eastAsia="仿宋_GB2312" w:cs="仿宋_GB2312"/>
          <w:color w:val="auto"/>
          <w:spacing w:val="-2"/>
          <w:sz w:val="32"/>
          <w:szCs w:val="32"/>
        </w:rPr>
        <w:t>查会议视项目情况邀请财政、住建、农业农村、</w:t>
      </w:r>
      <w:r>
        <w:rPr>
          <w:rFonts w:hint="eastAsia" w:ascii="仿宋_GB2312" w:hAnsi="仿宋_GB2312" w:eastAsia="仿宋_GB2312" w:cs="仿宋_GB2312"/>
          <w:color w:val="auto"/>
          <w:spacing w:val="10"/>
          <w:sz w:val="32"/>
          <w:szCs w:val="32"/>
        </w:rPr>
        <w:t>执</w:t>
      </w:r>
      <w:r>
        <w:rPr>
          <w:rFonts w:hint="eastAsia" w:ascii="仿宋_GB2312" w:hAnsi="仿宋_GB2312" w:eastAsia="仿宋_GB2312" w:cs="仿宋_GB2312"/>
          <w:color w:val="auto"/>
          <w:spacing w:val="8"/>
          <w:sz w:val="32"/>
          <w:szCs w:val="32"/>
        </w:rPr>
        <w:t>法</w:t>
      </w:r>
      <w:r>
        <w:rPr>
          <w:rFonts w:hint="eastAsia" w:ascii="仿宋_GB2312" w:hAnsi="仿宋_GB2312" w:eastAsia="仿宋_GB2312" w:cs="仿宋_GB2312"/>
          <w:color w:val="auto"/>
          <w:spacing w:val="5"/>
          <w:sz w:val="32"/>
          <w:szCs w:val="32"/>
        </w:rPr>
        <w:t>、资规、生态环境等部门参会，参会部门需根据各自职能明</w:t>
      </w:r>
      <w:r>
        <w:rPr>
          <w:rFonts w:hint="eastAsia" w:ascii="仿宋_GB2312" w:hAnsi="仿宋_GB2312" w:eastAsia="仿宋_GB2312" w:cs="仿宋_GB2312"/>
          <w:color w:val="auto"/>
          <w:spacing w:val="10"/>
          <w:sz w:val="32"/>
          <w:szCs w:val="32"/>
        </w:rPr>
        <w:t>确</w:t>
      </w:r>
      <w:r>
        <w:rPr>
          <w:rFonts w:hint="eastAsia" w:ascii="仿宋_GB2312" w:hAnsi="仿宋_GB2312" w:eastAsia="仿宋_GB2312" w:cs="仿宋_GB2312"/>
          <w:color w:val="auto"/>
          <w:spacing w:val="8"/>
          <w:sz w:val="32"/>
          <w:szCs w:val="32"/>
        </w:rPr>
        <w:t>作</w:t>
      </w:r>
      <w:r>
        <w:rPr>
          <w:rFonts w:hint="eastAsia" w:ascii="仿宋_GB2312" w:hAnsi="仿宋_GB2312" w:eastAsia="仿宋_GB2312" w:cs="仿宋_GB2312"/>
          <w:color w:val="auto"/>
          <w:spacing w:val="5"/>
          <w:sz w:val="32"/>
          <w:szCs w:val="32"/>
        </w:rPr>
        <w:t>出能否审批的意见或具体修改要求。不能审批的，应由相关</w:t>
      </w:r>
      <w:r>
        <w:rPr>
          <w:rFonts w:hint="eastAsia" w:ascii="仿宋_GB2312" w:hAnsi="仿宋_GB2312" w:eastAsia="仿宋_GB2312" w:cs="仿宋_GB2312"/>
          <w:color w:val="auto"/>
          <w:spacing w:val="-1"/>
          <w:sz w:val="32"/>
          <w:szCs w:val="32"/>
        </w:rPr>
        <w:t>部门说明原</w:t>
      </w:r>
      <w:r>
        <w:rPr>
          <w:rFonts w:hint="eastAsia" w:ascii="仿宋_GB2312" w:hAnsi="仿宋_GB2312" w:eastAsia="仿宋_GB2312" w:cs="仿宋_GB2312"/>
          <w:color w:val="auto"/>
          <w:sz w:val="32"/>
          <w:szCs w:val="32"/>
        </w:rPr>
        <w:t>因，并在会议纪要中体现。不能当场作出审批意见的,</w:t>
      </w:r>
      <w:r>
        <w:rPr>
          <w:rFonts w:hint="eastAsia" w:ascii="仿宋_GB2312" w:hAnsi="仿宋_GB2312" w:eastAsia="仿宋_GB2312" w:cs="仿宋_GB2312"/>
          <w:color w:val="auto"/>
          <w:spacing w:val="4"/>
          <w:sz w:val="32"/>
          <w:szCs w:val="32"/>
        </w:rPr>
        <w:t>应在3个工作日</w:t>
      </w:r>
      <w:r>
        <w:rPr>
          <w:rFonts w:hint="eastAsia" w:ascii="仿宋_GB2312" w:hAnsi="仿宋_GB2312" w:eastAsia="仿宋_GB2312" w:cs="仿宋_GB2312"/>
          <w:color w:val="auto"/>
          <w:spacing w:val="2"/>
          <w:sz w:val="32"/>
          <w:szCs w:val="32"/>
        </w:rPr>
        <w:t>内反馈，在出具会议纪要之前予以明确。</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4</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4"/>
          <w:sz w:val="32"/>
          <w:szCs w:val="32"/>
        </w:rPr>
        <w:t>为提高审批效率，简化审批流程，主要部门已书面反</w:t>
      </w:r>
      <w:r>
        <w:rPr>
          <w:rFonts w:hint="eastAsia" w:ascii="仿宋_GB2312" w:hAnsi="仿宋_GB2312" w:eastAsia="仿宋_GB2312" w:cs="仿宋_GB2312"/>
          <w:color w:val="auto"/>
          <w:spacing w:val="10"/>
          <w:sz w:val="32"/>
          <w:szCs w:val="32"/>
        </w:rPr>
        <w:t>馈</w:t>
      </w:r>
      <w:r>
        <w:rPr>
          <w:rFonts w:hint="eastAsia" w:ascii="仿宋_GB2312" w:hAnsi="仿宋_GB2312" w:eastAsia="仿宋_GB2312" w:cs="仿宋_GB2312"/>
          <w:color w:val="auto"/>
          <w:spacing w:val="9"/>
          <w:sz w:val="32"/>
          <w:szCs w:val="32"/>
        </w:rPr>
        <w:t>审查意见的，可视情况不再召开联审会。</w:t>
      </w:r>
    </w:p>
    <w:p>
      <w:pPr>
        <w:keepNext w:val="0"/>
        <w:keepLines w:val="0"/>
        <w:pageBreakBefore w:val="0"/>
        <w:widowControl/>
        <w:kinsoku w:val="0"/>
        <w:wordWrap/>
        <w:overflowPunct/>
        <w:topLinePunct w:val="0"/>
        <w:autoSpaceDE/>
        <w:autoSpaceDN/>
        <w:bidi w:val="0"/>
        <w:adjustRightInd/>
        <w:snapToGrid/>
        <w:spacing w:line="580" w:lineRule="exact"/>
        <w:ind w:firstLine="684" w:firstLineChars="200"/>
        <w:jc w:val="both"/>
        <w:textAlignment w:val="baseline"/>
        <w:rPr>
          <w:rFonts w:ascii="黑体" w:hAnsi="黑体" w:eastAsia="黑体" w:cs="黑体"/>
          <w:color w:val="auto"/>
          <w:sz w:val="32"/>
          <w:szCs w:val="32"/>
        </w:rPr>
      </w:pPr>
      <w:r>
        <w:rPr>
          <w:rFonts w:hint="eastAsia" w:ascii="黑体" w:hAnsi="黑体" w:eastAsia="黑体" w:cs="黑体"/>
          <w:color w:val="auto"/>
          <w:spacing w:val="11"/>
          <w:sz w:val="32"/>
          <w:szCs w:val="32"/>
        </w:rPr>
        <w:t>五</w:t>
      </w:r>
      <w:r>
        <w:rPr>
          <w:rFonts w:hint="eastAsia" w:ascii="黑体" w:hAnsi="黑体" w:eastAsia="黑体" w:cs="黑体"/>
          <w:color w:val="auto"/>
          <w:spacing w:val="8"/>
          <w:sz w:val="32"/>
          <w:szCs w:val="32"/>
        </w:rPr>
        <w:t>、可行性研究报告审批管理</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1</w:t>
      </w:r>
      <w:r>
        <w:rPr>
          <w:rFonts w:hint="eastAsia" w:ascii="仿宋_GB2312" w:hAnsi="仿宋_GB2312" w:eastAsia="仿宋_GB2312" w:cs="仿宋_GB2312"/>
          <w:color w:val="auto"/>
          <w:spacing w:val="4"/>
          <w:sz w:val="32"/>
          <w:szCs w:val="32"/>
        </w:rPr>
        <w:t>．政府投资项目可行性研究报告批准前，需征求相关主管</w:t>
      </w:r>
      <w:r>
        <w:rPr>
          <w:rFonts w:hint="eastAsia" w:ascii="仿宋_GB2312" w:hAnsi="仿宋_GB2312" w:eastAsia="仿宋_GB2312" w:cs="仿宋_GB2312"/>
          <w:color w:val="auto"/>
          <w:spacing w:val="10"/>
          <w:sz w:val="32"/>
          <w:szCs w:val="32"/>
        </w:rPr>
        <w:t>部</w:t>
      </w:r>
      <w:r>
        <w:rPr>
          <w:rFonts w:hint="eastAsia" w:ascii="仿宋_GB2312" w:hAnsi="仿宋_GB2312" w:eastAsia="仿宋_GB2312" w:cs="仿宋_GB2312"/>
          <w:color w:val="auto"/>
          <w:spacing w:val="8"/>
          <w:sz w:val="32"/>
          <w:szCs w:val="32"/>
        </w:rPr>
        <w:t>门</w:t>
      </w:r>
      <w:r>
        <w:rPr>
          <w:rFonts w:hint="eastAsia" w:ascii="仿宋_GB2312" w:hAnsi="仿宋_GB2312" w:eastAsia="仿宋_GB2312" w:cs="仿宋_GB2312"/>
          <w:color w:val="auto"/>
          <w:spacing w:val="5"/>
          <w:sz w:val="32"/>
          <w:szCs w:val="32"/>
        </w:rPr>
        <w:t>意见，其中新建项目可行性研究报告批准前，自然资源和规</w:t>
      </w:r>
      <w:r>
        <w:rPr>
          <w:rFonts w:hint="eastAsia" w:ascii="仿宋_GB2312" w:hAnsi="仿宋_GB2312" w:eastAsia="仿宋_GB2312" w:cs="仿宋_GB2312"/>
          <w:color w:val="auto"/>
          <w:spacing w:val="10"/>
          <w:sz w:val="32"/>
          <w:szCs w:val="32"/>
        </w:rPr>
        <w:t>划</w:t>
      </w:r>
      <w:r>
        <w:rPr>
          <w:rFonts w:hint="eastAsia" w:ascii="仿宋_GB2312" w:hAnsi="仿宋_GB2312" w:eastAsia="仿宋_GB2312" w:cs="仿宋_GB2312"/>
          <w:color w:val="auto"/>
          <w:spacing w:val="8"/>
          <w:sz w:val="32"/>
          <w:szCs w:val="32"/>
        </w:rPr>
        <w:t>部</w:t>
      </w:r>
      <w:r>
        <w:rPr>
          <w:rFonts w:hint="eastAsia" w:ascii="仿宋_GB2312" w:hAnsi="仿宋_GB2312" w:eastAsia="仿宋_GB2312" w:cs="仿宋_GB2312"/>
          <w:color w:val="auto"/>
          <w:spacing w:val="5"/>
          <w:sz w:val="32"/>
          <w:szCs w:val="32"/>
        </w:rPr>
        <w:t>门应当依申请出具用地预审与选址意见书。维修、装修和局</w:t>
      </w:r>
      <w:r>
        <w:rPr>
          <w:rFonts w:hint="eastAsia" w:ascii="仿宋_GB2312" w:hAnsi="仿宋_GB2312" w:eastAsia="仿宋_GB2312" w:cs="仿宋_GB2312"/>
          <w:color w:val="auto"/>
          <w:spacing w:val="14"/>
          <w:sz w:val="32"/>
          <w:szCs w:val="32"/>
        </w:rPr>
        <w:t>部</w:t>
      </w:r>
      <w:r>
        <w:rPr>
          <w:rFonts w:hint="eastAsia" w:ascii="仿宋_GB2312" w:hAnsi="仿宋_GB2312" w:eastAsia="仿宋_GB2312" w:cs="仿宋_GB2312"/>
          <w:color w:val="auto"/>
          <w:spacing w:val="7"/>
          <w:sz w:val="32"/>
          <w:szCs w:val="32"/>
        </w:rPr>
        <w:t>改造类政府投资项目，如果不涉及占地面积与用地性质调整、</w:t>
      </w:r>
      <w:r>
        <w:rPr>
          <w:rFonts w:hint="eastAsia" w:ascii="仿宋_GB2312" w:hAnsi="仿宋_GB2312" w:eastAsia="仿宋_GB2312" w:cs="仿宋_GB2312"/>
          <w:color w:val="auto"/>
          <w:spacing w:val="10"/>
          <w:sz w:val="32"/>
          <w:szCs w:val="32"/>
        </w:rPr>
        <w:t>重</w:t>
      </w:r>
      <w:r>
        <w:rPr>
          <w:rFonts w:hint="eastAsia" w:ascii="仿宋_GB2312" w:hAnsi="仿宋_GB2312" w:eastAsia="仿宋_GB2312" w:cs="仿宋_GB2312"/>
          <w:color w:val="auto"/>
          <w:spacing w:val="8"/>
          <w:sz w:val="32"/>
          <w:szCs w:val="32"/>
        </w:rPr>
        <w:t>要</w:t>
      </w:r>
      <w:r>
        <w:rPr>
          <w:rFonts w:hint="eastAsia" w:ascii="仿宋_GB2312" w:hAnsi="仿宋_GB2312" w:eastAsia="仿宋_GB2312" w:cs="仿宋_GB2312"/>
          <w:color w:val="auto"/>
          <w:spacing w:val="5"/>
          <w:sz w:val="32"/>
          <w:szCs w:val="32"/>
        </w:rPr>
        <w:t>街道沿街立面改造，批复可行性研究报告时可以简化所需的</w:t>
      </w:r>
      <w:r>
        <w:rPr>
          <w:rFonts w:hint="eastAsia" w:ascii="仿宋_GB2312" w:hAnsi="仿宋_GB2312" w:eastAsia="仿宋_GB2312" w:cs="仿宋_GB2312"/>
          <w:color w:val="auto"/>
          <w:spacing w:val="10"/>
          <w:sz w:val="32"/>
          <w:szCs w:val="32"/>
        </w:rPr>
        <w:t>规</w:t>
      </w:r>
      <w:r>
        <w:rPr>
          <w:rFonts w:hint="eastAsia" w:ascii="仿宋_GB2312" w:hAnsi="仿宋_GB2312" w:eastAsia="仿宋_GB2312" w:cs="仿宋_GB2312"/>
          <w:color w:val="auto"/>
          <w:spacing w:val="8"/>
          <w:sz w:val="32"/>
          <w:szCs w:val="32"/>
        </w:rPr>
        <w:t>划</w:t>
      </w:r>
      <w:r>
        <w:rPr>
          <w:rFonts w:hint="eastAsia" w:ascii="仿宋_GB2312" w:hAnsi="仿宋_GB2312" w:eastAsia="仿宋_GB2312" w:cs="仿宋_GB2312"/>
          <w:color w:val="auto"/>
          <w:spacing w:val="5"/>
          <w:sz w:val="32"/>
          <w:szCs w:val="32"/>
        </w:rPr>
        <w:t>、用地等前置审批条件。周转房等临时项目无法办理正式规</w:t>
      </w:r>
      <w:r>
        <w:rPr>
          <w:rFonts w:hint="eastAsia" w:ascii="仿宋_GB2312" w:hAnsi="仿宋_GB2312" w:eastAsia="仿宋_GB2312" w:cs="仿宋_GB2312"/>
          <w:color w:val="auto"/>
          <w:spacing w:val="10"/>
          <w:sz w:val="32"/>
          <w:szCs w:val="32"/>
        </w:rPr>
        <w:t>划</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5"/>
          <w:sz w:val="32"/>
          <w:szCs w:val="32"/>
        </w:rPr>
        <w:t>用地手续的，应作为项目做地费用纳入相应建设工程，不单独</w:t>
      </w:r>
      <w:r>
        <w:rPr>
          <w:rFonts w:hint="eastAsia" w:ascii="仿宋_GB2312" w:hAnsi="仿宋_GB2312" w:eastAsia="仿宋_GB2312" w:cs="仿宋_GB2312"/>
          <w:color w:val="auto"/>
          <w:spacing w:val="4"/>
          <w:sz w:val="32"/>
          <w:szCs w:val="32"/>
        </w:rPr>
        <w:t>立项。</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2</w:t>
      </w:r>
      <w:r>
        <w:rPr>
          <w:rFonts w:hint="eastAsia" w:ascii="仿宋_GB2312" w:hAnsi="仿宋_GB2312" w:eastAsia="仿宋_GB2312" w:cs="仿宋_GB2312"/>
          <w:color w:val="auto"/>
          <w:spacing w:val="4"/>
          <w:sz w:val="32"/>
          <w:szCs w:val="32"/>
        </w:rPr>
        <w:t>．政府投资项目可行性研究报告批准前，应当征询财政部</w:t>
      </w:r>
      <w:r>
        <w:rPr>
          <w:rFonts w:hint="eastAsia" w:ascii="仿宋_GB2312" w:hAnsi="仿宋_GB2312" w:eastAsia="仿宋_GB2312" w:cs="仿宋_GB2312"/>
          <w:color w:val="auto"/>
          <w:spacing w:val="14"/>
          <w:sz w:val="32"/>
          <w:szCs w:val="32"/>
        </w:rPr>
        <w:t>门</w:t>
      </w:r>
      <w:r>
        <w:rPr>
          <w:rFonts w:hint="eastAsia" w:ascii="仿宋_GB2312" w:hAnsi="仿宋_GB2312" w:eastAsia="仿宋_GB2312" w:cs="仿宋_GB2312"/>
          <w:color w:val="auto"/>
          <w:spacing w:val="9"/>
          <w:sz w:val="32"/>
          <w:szCs w:val="32"/>
        </w:rPr>
        <w:t>意</w:t>
      </w:r>
      <w:r>
        <w:rPr>
          <w:rFonts w:hint="eastAsia" w:ascii="仿宋_GB2312" w:hAnsi="仿宋_GB2312" w:eastAsia="仿宋_GB2312" w:cs="仿宋_GB2312"/>
          <w:color w:val="auto"/>
          <w:spacing w:val="7"/>
          <w:sz w:val="32"/>
          <w:szCs w:val="32"/>
        </w:rPr>
        <w:t>见。项目建议书阶段可以不征询财政部门意见。</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3</w:t>
      </w:r>
      <w:r>
        <w:rPr>
          <w:rFonts w:hint="eastAsia" w:ascii="仿宋_GB2312" w:hAnsi="仿宋_GB2312" w:eastAsia="仿宋_GB2312" w:cs="仿宋_GB2312"/>
          <w:color w:val="auto"/>
          <w:spacing w:val="4"/>
          <w:sz w:val="32"/>
          <w:szCs w:val="32"/>
        </w:rPr>
        <w:t>．政府投资项目初步设计批复前，有下列情形之一的，项</w:t>
      </w:r>
      <w:r>
        <w:rPr>
          <w:rFonts w:hint="eastAsia" w:ascii="仿宋_GB2312" w:hAnsi="仿宋_GB2312" w:eastAsia="仿宋_GB2312" w:cs="仿宋_GB2312"/>
          <w:color w:val="auto"/>
          <w:spacing w:val="-5"/>
          <w:sz w:val="32"/>
          <w:szCs w:val="32"/>
        </w:rPr>
        <w:t>目可行性研究报告应当调整重批，原则上不超过一次：</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3"/>
          <w:sz w:val="32"/>
          <w:szCs w:val="32"/>
        </w:rPr>
        <w:t>项</w:t>
      </w:r>
      <w:r>
        <w:rPr>
          <w:rFonts w:hint="eastAsia" w:ascii="仿宋_GB2312" w:hAnsi="仿宋_GB2312" w:eastAsia="仿宋_GB2312" w:cs="仿宋_GB2312"/>
          <w:color w:val="auto"/>
          <w:spacing w:val="-18"/>
          <w:sz w:val="32"/>
          <w:szCs w:val="32"/>
        </w:rPr>
        <w:t>目</w:t>
      </w:r>
      <w:r>
        <w:rPr>
          <w:rFonts w:hint="eastAsia" w:ascii="仿宋_GB2312" w:hAnsi="仿宋_GB2312" w:eastAsia="仿宋_GB2312" w:cs="仿宋_GB2312"/>
          <w:color w:val="auto"/>
          <w:spacing w:val="-12"/>
          <w:sz w:val="32"/>
          <w:szCs w:val="32"/>
        </w:rPr>
        <w:t>建</w:t>
      </w:r>
      <w:r>
        <w:rPr>
          <w:rFonts w:hint="eastAsia" w:ascii="仿宋_GB2312" w:hAnsi="仿宋_GB2312" w:eastAsia="仿宋_GB2312" w:cs="仿宋_GB2312"/>
          <w:color w:val="auto"/>
          <w:spacing w:val="-9"/>
          <w:sz w:val="32"/>
          <w:szCs w:val="32"/>
        </w:rPr>
        <w:t>设规模、建设内容、技术方案发生重大变更的；</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lang w:val="en-US" w:eastAsia="zh-CN"/>
        </w:rPr>
        <w:t>2</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项目</w:t>
      </w:r>
      <w:r>
        <w:rPr>
          <w:rFonts w:hint="eastAsia" w:ascii="仿宋_GB2312" w:hAnsi="仿宋_GB2312" w:eastAsia="仿宋_GB2312" w:cs="仿宋_GB2312"/>
          <w:color w:val="auto"/>
          <w:spacing w:val="10"/>
          <w:sz w:val="32"/>
          <w:szCs w:val="32"/>
        </w:rPr>
        <w:t>单</w:t>
      </w:r>
      <w:r>
        <w:rPr>
          <w:rFonts w:hint="eastAsia" w:ascii="仿宋_GB2312" w:hAnsi="仿宋_GB2312" w:eastAsia="仿宋_GB2312" w:cs="仿宋_GB2312"/>
          <w:color w:val="auto"/>
          <w:spacing w:val="7"/>
          <w:sz w:val="32"/>
          <w:szCs w:val="32"/>
        </w:rPr>
        <w:t>位</w:t>
      </w:r>
      <w:r>
        <w:rPr>
          <w:rFonts w:hint="eastAsia" w:ascii="仿宋_GB2312" w:hAnsi="仿宋_GB2312" w:eastAsia="仿宋_GB2312" w:cs="仿宋_GB2312"/>
          <w:color w:val="auto"/>
          <w:spacing w:val="5"/>
          <w:sz w:val="32"/>
          <w:szCs w:val="32"/>
        </w:rPr>
        <w:t>报批的项目概算与已批复可研报告的投资估算不符，经认定</w:t>
      </w:r>
      <w:r>
        <w:rPr>
          <w:rFonts w:hint="eastAsia" w:ascii="仿宋_GB2312" w:hAnsi="仿宋_GB2312" w:eastAsia="仿宋_GB2312" w:cs="仿宋_GB2312"/>
          <w:color w:val="auto"/>
          <w:spacing w:val="-16"/>
          <w:sz w:val="32"/>
          <w:szCs w:val="32"/>
        </w:rPr>
        <w:t>确需</w:t>
      </w:r>
      <w:r>
        <w:rPr>
          <w:rFonts w:hint="eastAsia" w:ascii="仿宋_GB2312" w:hAnsi="仿宋_GB2312" w:eastAsia="仿宋_GB2312" w:cs="仿宋_GB2312"/>
          <w:color w:val="auto"/>
          <w:spacing w:val="-12"/>
          <w:sz w:val="32"/>
          <w:szCs w:val="32"/>
        </w:rPr>
        <w:t>要</w:t>
      </w:r>
      <w:r>
        <w:rPr>
          <w:rFonts w:hint="eastAsia" w:ascii="仿宋_GB2312" w:hAnsi="仿宋_GB2312" w:eastAsia="仿宋_GB2312" w:cs="仿宋_GB2312"/>
          <w:color w:val="auto"/>
          <w:spacing w:val="-8"/>
          <w:sz w:val="32"/>
          <w:szCs w:val="32"/>
        </w:rPr>
        <w:t>增加投资概算，且超过估算10%或2000万元以上的；</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10"/>
          <w:sz w:val="32"/>
          <w:szCs w:val="32"/>
        </w:rPr>
        <w:t>线</w:t>
      </w:r>
      <w:r>
        <w:rPr>
          <w:rFonts w:hint="eastAsia" w:ascii="仿宋_GB2312" w:hAnsi="仿宋_GB2312" w:eastAsia="仿宋_GB2312" w:cs="仿宋_GB2312"/>
          <w:color w:val="auto"/>
          <w:spacing w:val="7"/>
          <w:sz w:val="32"/>
          <w:szCs w:val="32"/>
        </w:rPr>
        <w:t>性</w:t>
      </w:r>
      <w:r>
        <w:rPr>
          <w:rFonts w:hint="eastAsia" w:ascii="仿宋_GB2312" w:hAnsi="仿宋_GB2312" w:eastAsia="仿宋_GB2312" w:cs="仿宋_GB2312"/>
          <w:color w:val="auto"/>
          <w:spacing w:val="5"/>
          <w:sz w:val="32"/>
          <w:szCs w:val="32"/>
        </w:rPr>
        <w:t>项目的建设地点发生重大变更，其用地预审与选址意见书重新报批的。</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4</w:t>
      </w:r>
      <w:r>
        <w:rPr>
          <w:rFonts w:hint="eastAsia" w:ascii="仿宋_GB2312" w:hAnsi="仿宋_GB2312" w:eastAsia="仿宋_GB2312" w:cs="仿宋_GB2312"/>
          <w:color w:val="auto"/>
          <w:spacing w:val="4"/>
          <w:sz w:val="32"/>
          <w:szCs w:val="32"/>
        </w:rPr>
        <w:t>．政府投资项目初步设计批复后，原则上不得重新审批或</w:t>
      </w:r>
      <w:r>
        <w:rPr>
          <w:rFonts w:hint="eastAsia" w:ascii="仿宋_GB2312" w:hAnsi="仿宋_GB2312" w:eastAsia="仿宋_GB2312" w:cs="仿宋_GB2312"/>
          <w:color w:val="auto"/>
          <w:spacing w:val="2"/>
          <w:sz w:val="32"/>
          <w:szCs w:val="32"/>
        </w:rPr>
        <w:t>调整可行性研究报告。因不可抗力等原因</w:t>
      </w:r>
      <w:r>
        <w:rPr>
          <w:rFonts w:hint="eastAsia" w:ascii="仿宋_GB2312" w:hAnsi="仿宋_GB2312" w:eastAsia="仿宋_GB2312" w:cs="仿宋_GB2312"/>
          <w:color w:val="auto"/>
          <w:spacing w:val="1"/>
          <w:sz w:val="32"/>
          <w:szCs w:val="32"/>
        </w:rPr>
        <w:t>，确需变更建设地点、</w:t>
      </w:r>
      <w:r>
        <w:rPr>
          <w:rFonts w:hint="eastAsia" w:ascii="仿宋_GB2312" w:hAnsi="仿宋_GB2312" w:eastAsia="仿宋_GB2312" w:cs="仿宋_GB2312"/>
          <w:color w:val="auto"/>
          <w:spacing w:val="10"/>
          <w:sz w:val="32"/>
          <w:szCs w:val="32"/>
        </w:rPr>
        <w:t>或</w:t>
      </w:r>
      <w:r>
        <w:rPr>
          <w:rFonts w:hint="eastAsia" w:ascii="仿宋_GB2312" w:hAnsi="仿宋_GB2312" w:eastAsia="仿宋_GB2312" w:cs="仿宋_GB2312"/>
          <w:color w:val="auto"/>
          <w:spacing w:val="8"/>
          <w:sz w:val="32"/>
          <w:szCs w:val="32"/>
        </w:rPr>
        <w:t>拟</w:t>
      </w:r>
      <w:r>
        <w:rPr>
          <w:rFonts w:hint="eastAsia" w:ascii="仿宋_GB2312" w:hAnsi="仿宋_GB2312" w:eastAsia="仿宋_GB2312" w:cs="仿宋_GB2312"/>
          <w:color w:val="auto"/>
          <w:spacing w:val="5"/>
          <w:sz w:val="32"/>
          <w:szCs w:val="32"/>
        </w:rPr>
        <w:t>对建设规模、建设内容作出重大变更的，按相关会议纪要或</w:t>
      </w:r>
      <w:r>
        <w:rPr>
          <w:rFonts w:hint="eastAsia" w:ascii="仿宋_GB2312" w:hAnsi="仿宋_GB2312" w:eastAsia="仿宋_GB2312" w:cs="仿宋_GB2312"/>
          <w:color w:val="auto"/>
          <w:spacing w:val="10"/>
          <w:sz w:val="32"/>
          <w:szCs w:val="32"/>
        </w:rPr>
        <w:t>行</w:t>
      </w:r>
      <w:r>
        <w:rPr>
          <w:rFonts w:hint="eastAsia" w:ascii="仿宋_GB2312" w:hAnsi="仿宋_GB2312" w:eastAsia="仿宋_GB2312" w:cs="仿宋_GB2312"/>
          <w:color w:val="auto"/>
          <w:spacing w:val="8"/>
          <w:sz w:val="32"/>
          <w:szCs w:val="32"/>
        </w:rPr>
        <w:t>业</w:t>
      </w:r>
      <w:r>
        <w:rPr>
          <w:rFonts w:hint="eastAsia" w:ascii="仿宋_GB2312" w:hAnsi="仿宋_GB2312" w:eastAsia="仿宋_GB2312" w:cs="仿宋_GB2312"/>
          <w:color w:val="auto"/>
          <w:spacing w:val="5"/>
          <w:sz w:val="32"/>
          <w:szCs w:val="32"/>
        </w:rPr>
        <w:t>主管部门提供书面审查意见，按新项目重新审批可行性研究</w:t>
      </w:r>
      <w:r>
        <w:rPr>
          <w:rFonts w:hint="eastAsia" w:ascii="仿宋_GB2312" w:hAnsi="仿宋_GB2312" w:eastAsia="仿宋_GB2312" w:cs="仿宋_GB2312"/>
          <w:color w:val="auto"/>
          <w:spacing w:val="2"/>
          <w:sz w:val="32"/>
          <w:szCs w:val="32"/>
        </w:rPr>
        <w:t>报告</w:t>
      </w:r>
      <w:r>
        <w:rPr>
          <w:rFonts w:hint="eastAsia" w:ascii="仿宋_GB2312" w:hAnsi="仿宋_GB2312" w:eastAsia="仿宋_GB2312" w:cs="仿宋_GB2312"/>
          <w:color w:val="auto"/>
          <w:spacing w:val="1"/>
          <w:sz w:val="32"/>
          <w:szCs w:val="32"/>
        </w:rPr>
        <w:t>。</w:t>
      </w:r>
    </w:p>
    <w:p>
      <w:pPr>
        <w:keepNext w:val="0"/>
        <w:keepLines w:val="0"/>
        <w:pageBreakBefore w:val="0"/>
        <w:widowControl/>
        <w:kinsoku w:val="0"/>
        <w:wordWrap/>
        <w:overflowPunct/>
        <w:topLinePunct w:val="0"/>
        <w:autoSpaceDE/>
        <w:autoSpaceDN/>
        <w:bidi w:val="0"/>
        <w:adjustRightInd/>
        <w:snapToGrid/>
        <w:spacing w:line="580" w:lineRule="exact"/>
        <w:ind w:firstLine="692" w:firstLineChars="200"/>
        <w:jc w:val="both"/>
        <w:textAlignment w:val="baseline"/>
        <w:rPr>
          <w:rFonts w:ascii="黑体" w:hAnsi="黑体" w:eastAsia="黑体" w:cs="黑体"/>
          <w:color w:val="auto"/>
          <w:sz w:val="32"/>
          <w:szCs w:val="32"/>
        </w:rPr>
      </w:pPr>
      <w:r>
        <w:rPr>
          <w:rFonts w:ascii="黑体" w:hAnsi="黑体" w:eastAsia="黑体" w:cs="黑体"/>
          <w:color w:val="auto"/>
          <w:spacing w:val="13"/>
          <w:sz w:val="32"/>
          <w:szCs w:val="32"/>
        </w:rPr>
        <w:t>六</w:t>
      </w:r>
      <w:r>
        <w:rPr>
          <w:rFonts w:ascii="黑体" w:hAnsi="黑体" w:eastAsia="黑体" w:cs="黑体"/>
          <w:color w:val="auto"/>
          <w:spacing w:val="7"/>
          <w:sz w:val="32"/>
          <w:szCs w:val="32"/>
        </w:rPr>
        <w:t>、初步设计审批管理</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5</w:t>
      </w:r>
      <w:r>
        <w:rPr>
          <w:rFonts w:hint="eastAsia" w:ascii="仿宋_GB2312" w:hAnsi="仿宋_GB2312" w:eastAsia="仿宋_GB2312" w:cs="仿宋_GB2312"/>
          <w:color w:val="auto"/>
          <w:spacing w:val="4"/>
          <w:sz w:val="32"/>
          <w:szCs w:val="32"/>
        </w:rPr>
        <w:t>．政府投资项目初步设计批准前，由区发改局征询各职能</w:t>
      </w:r>
      <w:r>
        <w:rPr>
          <w:rFonts w:hint="eastAsia" w:ascii="仿宋_GB2312" w:hAnsi="仿宋_GB2312" w:eastAsia="仿宋_GB2312" w:cs="仿宋_GB2312"/>
          <w:color w:val="auto"/>
          <w:spacing w:val="7"/>
          <w:sz w:val="32"/>
          <w:szCs w:val="32"/>
        </w:rPr>
        <w:t>部门意见后批准。</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6</w:t>
      </w:r>
      <w:r>
        <w:rPr>
          <w:rFonts w:hint="eastAsia" w:ascii="仿宋_GB2312" w:hAnsi="仿宋_GB2312" w:eastAsia="仿宋_GB2312" w:cs="仿宋_GB2312"/>
          <w:color w:val="auto"/>
          <w:spacing w:val="4"/>
          <w:sz w:val="32"/>
          <w:szCs w:val="32"/>
        </w:rPr>
        <w:t>．政府投资项目初步设计批复的投资概算不得超过经批准</w:t>
      </w:r>
      <w:r>
        <w:rPr>
          <w:rFonts w:hint="eastAsia" w:ascii="仿宋_GB2312" w:hAnsi="仿宋_GB2312" w:eastAsia="仿宋_GB2312" w:cs="仿宋_GB2312"/>
          <w:color w:val="auto"/>
          <w:spacing w:val="8"/>
          <w:sz w:val="32"/>
          <w:szCs w:val="32"/>
        </w:rPr>
        <w:t>的可行</w:t>
      </w:r>
      <w:r>
        <w:rPr>
          <w:rFonts w:hint="eastAsia" w:ascii="仿宋_GB2312" w:hAnsi="仿宋_GB2312" w:eastAsia="仿宋_GB2312" w:cs="仿宋_GB2312"/>
          <w:color w:val="auto"/>
          <w:spacing w:val="5"/>
          <w:sz w:val="32"/>
          <w:szCs w:val="32"/>
        </w:rPr>
        <w:t>性</w:t>
      </w:r>
      <w:r>
        <w:rPr>
          <w:rFonts w:hint="eastAsia" w:ascii="仿宋_GB2312" w:hAnsi="仿宋_GB2312" w:eastAsia="仿宋_GB2312" w:cs="仿宋_GB2312"/>
          <w:color w:val="auto"/>
          <w:spacing w:val="4"/>
          <w:sz w:val="32"/>
          <w:szCs w:val="32"/>
        </w:rPr>
        <w:t>研究报告提出投资估算的10%或2000万元以上。经核</w:t>
      </w:r>
      <w:r>
        <w:rPr>
          <w:rFonts w:hint="eastAsia" w:ascii="仿宋_GB2312" w:hAnsi="仿宋_GB2312" w:eastAsia="仿宋_GB2312" w:cs="仿宋_GB2312"/>
          <w:color w:val="auto"/>
          <w:spacing w:val="10"/>
          <w:sz w:val="32"/>
          <w:szCs w:val="32"/>
        </w:rPr>
        <w:t>定</w:t>
      </w:r>
      <w:r>
        <w:rPr>
          <w:rFonts w:hint="eastAsia" w:ascii="仿宋_GB2312" w:hAnsi="仿宋_GB2312" w:eastAsia="仿宋_GB2312" w:cs="仿宋_GB2312"/>
          <w:color w:val="auto"/>
          <w:spacing w:val="5"/>
          <w:sz w:val="32"/>
          <w:szCs w:val="32"/>
        </w:rPr>
        <w:t>的概算超过可研批复估算，或资金来源发生变化的，应当征询</w:t>
      </w:r>
      <w:r>
        <w:rPr>
          <w:rFonts w:hint="eastAsia" w:ascii="仿宋_GB2312" w:hAnsi="仿宋_GB2312" w:eastAsia="仿宋_GB2312" w:cs="仿宋_GB2312"/>
          <w:color w:val="auto"/>
          <w:spacing w:val="7"/>
          <w:sz w:val="32"/>
          <w:szCs w:val="32"/>
        </w:rPr>
        <w:t>财</w:t>
      </w:r>
      <w:r>
        <w:rPr>
          <w:rFonts w:hint="eastAsia" w:ascii="仿宋_GB2312" w:hAnsi="仿宋_GB2312" w:eastAsia="仿宋_GB2312" w:cs="仿宋_GB2312"/>
          <w:color w:val="auto"/>
          <w:spacing w:val="6"/>
          <w:sz w:val="32"/>
          <w:szCs w:val="32"/>
        </w:rPr>
        <w:t>政部门意见。</w:t>
      </w:r>
    </w:p>
    <w:p>
      <w:pPr>
        <w:keepNext w:val="0"/>
        <w:keepLines w:val="0"/>
        <w:pageBreakBefore w:val="0"/>
        <w:widowControl/>
        <w:kinsoku w:val="0"/>
        <w:wordWrap/>
        <w:overflowPunct/>
        <w:topLinePunct w:val="0"/>
        <w:autoSpaceDE/>
        <w:autoSpaceDN/>
        <w:bidi w:val="0"/>
        <w:adjustRightInd/>
        <w:snapToGrid/>
        <w:spacing w:line="580" w:lineRule="exact"/>
        <w:ind w:firstLine="668"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w:t>
      </w:r>
      <w:r>
        <w:rPr>
          <w:rFonts w:hint="eastAsia" w:ascii="仿宋_GB2312" w:hAnsi="仿宋_GB2312" w:eastAsia="仿宋_GB2312" w:cs="仿宋_GB2312"/>
          <w:color w:val="auto"/>
          <w:spacing w:val="4"/>
          <w:sz w:val="32"/>
          <w:szCs w:val="32"/>
        </w:rPr>
        <w:t>7.政府投资项目在可行性研究报告批复的框架内，因不可</w:t>
      </w:r>
      <w:r>
        <w:rPr>
          <w:rFonts w:hint="eastAsia" w:ascii="仿宋_GB2312" w:hAnsi="仿宋_GB2312" w:eastAsia="仿宋_GB2312" w:cs="仿宋_GB2312"/>
          <w:color w:val="auto"/>
          <w:spacing w:val="10"/>
          <w:sz w:val="32"/>
          <w:szCs w:val="32"/>
        </w:rPr>
        <w:t>抗</w:t>
      </w:r>
      <w:r>
        <w:rPr>
          <w:rFonts w:hint="eastAsia" w:ascii="仿宋_GB2312" w:hAnsi="仿宋_GB2312" w:eastAsia="仿宋_GB2312" w:cs="仿宋_GB2312"/>
          <w:color w:val="auto"/>
          <w:spacing w:val="5"/>
          <w:sz w:val="32"/>
          <w:szCs w:val="32"/>
        </w:rPr>
        <w:t>力导致的重大设计变更，应当报原审批机关批准后实施。初步</w:t>
      </w:r>
      <w:r>
        <w:rPr>
          <w:rFonts w:hint="eastAsia" w:ascii="仿宋_GB2312" w:hAnsi="仿宋_GB2312" w:eastAsia="仿宋_GB2312" w:cs="仿宋_GB2312"/>
          <w:color w:val="auto"/>
          <w:spacing w:val="10"/>
          <w:sz w:val="32"/>
          <w:szCs w:val="32"/>
        </w:rPr>
        <w:t>设</w:t>
      </w:r>
      <w:r>
        <w:rPr>
          <w:rFonts w:hint="eastAsia" w:ascii="仿宋_GB2312" w:hAnsi="仿宋_GB2312" w:eastAsia="仿宋_GB2312" w:cs="仿宋_GB2312"/>
          <w:color w:val="auto"/>
          <w:spacing w:val="8"/>
          <w:sz w:val="32"/>
          <w:szCs w:val="32"/>
        </w:rPr>
        <w:t>计</w:t>
      </w:r>
      <w:r>
        <w:rPr>
          <w:rFonts w:hint="eastAsia" w:ascii="仿宋_GB2312" w:hAnsi="仿宋_GB2312" w:eastAsia="仿宋_GB2312" w:cs="仿宋_GB2312"/>
          <w:color w:val="auto"/>
          <w:spacing w:val="5"/>
          <w:sz w:val="32"/>
          <w:szCs w:val="32"/>
        </w:rPr>
        <w:t>变更不得突破原批复概算，单个政府投资初步设计变更原则</w:t>
      </w:r>
      <w:r>
        <w:rPr>
          <w:rFonts w:hint="eastAsia" w:ascii="仿宋_GB2312" w:hAnsi="仿宋_GB2312" w:eastAsia="仿宋_GB2312" w:cs="仿宋_GB2312"/>
          <w:color w:val="auto"/>
          <w:spacing w:val="6"/>
          <w:sz w:val="32"/>
          <w:szCs w:val="32"/>
        </w:rPr>
        <w:t>上</w:t>
      </w:r>
      <w:r>
        <w:rPr>
          <w:rFonts w:hint="eastAsia" w:ascii="仿宋_GB2312" w:hAnsi="仿宋_GB2312" w:eastAsia="仿宋_GB2312" w:cs="仿宋_GB2312"/>
          <w:color w:val="auto"/>
          <w:spacing w:val="5"/>
          <w:sz w:val="32"/>
          <w:szCs w:val="32"/>
        </w:rPr>
        <w:t>不超过一次，由相关会议纪要或行业主管部门提供书面审查意</w:t>
      </w:r>
      <w:r>
        <w:rPr>
          <w:rFonts w:hint="eastAsia" w:ascii="仿宋_GB2312" w:hAnsi="仿宋_GB2312" w:eastAsia="仿宋_GB2312" w:cs="仿宋_GB2312"/>
          <w:color w:val="auto"/>
          <w:spacing w:val="9"/>
          <w:sz w:val="32"/>
          <w:szCs w:val="32"/>
        </w:rPr>
        <w:t>见</w:t>
      </w:r>
      <w:r>
        <w:rPr>
          <w:rFonts w:hint="eastAsia" w:ascii="仿宋_GB2312" w:hAnsi="仿宋_GB2312" w:eastAsia="仿宋_GB2312" w:cs="仿宋_GB2312"/>
          <w:color w:val="auto"/>
          <w:spacing w:val="5"/>
          <w:sz w:val="32"/>
          <w:szCs w:val="32"/>
        </w:rPr>
        <w:t>后予以审批。</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7"/>
          <w:sz w:val="32"/>
          <w:szCs w:val="32"/>
        </w:rPr>
        <w:t>8</w:t>
      </w:r>
      <w:r>
        <w:rPr>
          <w:rFonts w:hint="eastAsia" w:ascii="仿宋_GB2312" w:hAnsi="仿宋_GB2312" w:eastAsia="仿宋_GB2312" w:cs="仿宋_GB2312"/>
          <w:color w:val="auto"/>
          <w:spacing w:val="4"/>
          <w:sz w:val="32"/>
          <w:szCs w:val="32"/>
        </w:rPr>
        <w:t>．有下列情形之一的，政府投资项目可行性研究报告、初</w:t>
      </w:r>
      <w:r>
        <w:rPr>
          <w:rFonts w:hint="eastAsia" w:ascii="仿宋_GB2312" w:hAnsi="仿宋_GB2312" w:eastAsia="仿宋_GB2312" w:cs="仿宋_GB2312"/>
          <w:color w:val="auto"/>
          <w:spacing w:val="-24"/>
          <w:sz w:val="32"/>
          <w:szCs w:val="32"/>
        </w:rPr>
        <w:t>步</w:t>
      </w:r>
      <w:r>
        <w:rPr>
          <w:rFonts w:hint="eastAsia" w:ascii="仿宋_GB2312" w:hAnsi="仿宋_GB2312" w:eastAsia="仿宋_GB2312" w:cs="仿宋_GB2312"/>
          <w:color w:val="auto"/>
          <w:spacing w:val="-13"/>
          <w:sz w:val="32"/>
          <w:szCs w:val="32"/>
        </w:rPr>
        <w:t>设计原则上均不予审批、调整或变更：</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lang w:val="en-US" w:eastAsia="zh-CN"/>
        </w:rPr>
        <w:t>1</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项目已基本</w:t>
      </w:r>
      <w:r>
        <w:rPr>
          <w:rFonts w:hint="eastAsia" w:ascii="仿宋_GB2312" w:hAnsi="仿宋_GB2312" w:eastAsia="仿宋_GB2312" w:cs="仿宋_GB2312"/>
          <w:color w:val="auto"/>
          <w:spacing w:val="-11"/>
          <w:sz w:val="32"/>
          <w:szCs w:val="32"/>
        </w:rPr>
        <w:t>建设完成；</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项目建设单位在建设过程中擅自增加建设内容</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8"/>
          <w:sz w:val="32"/>
          <w:szCs w:val="32"/>
        </w:rPr>
        <w:t>扩大建设规模</w:t>
      </w:r>
      <w:r>
        <w:rPr>
          <w:rFonts w:hint="eastAsia" w:ascii="仿宋_GB2312" w:hAnsi="仿宋_GB2312" w:eastAsia="仿宋_GB2312" w:cs="仿宋_GB2312"/>
          <w:color w:val="auto"/>
          <w:spacing w:val="-4"/>
          <w:sz w:val="32"/>
          <w:szCs w:val="32"/>
        </w:rPr>
        <w:t>、提高建设标准、报小建大的；</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项目建设单</w:t>
      </w:r>
      <w:r>
        <w:rPr>
          <w:rFonts w:hint="eastAsia" w:ascii="仿宋_GB2312" w:hAnsi="仿宋_GB2312" w:eastAsia="仿宋_GB2312" w:cs="仿宋_GB2312"/>
          <w:color w:val="auto"/>
          <w:spacing w:val="13"/>
          <w:sz w:val="32"/>
          <w:szCs w:val="32"/>
        </w:rPr>
        <w:t>位</w:t>
      </w:r>
      <w:r>
        <w:rPr>
          <w:rFonts w:hint="eastAsia" w:ascii="仿宋_GB2312" w:hAnsi="仿宋_GB2312" w:eastAsia="仿宋_GB2312" w:cs="仿宋_GB2312"/>
          <w:color w:val="auto"/>
          <w:spacing w:val="9"/>
          <w:sz w:val="32"/>
          <w:szCs w:val="32"/>
        </w:rPr>
        <w:t>未批先建等违法违规做法造成重大社会影响的。</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黑体" w:hAnsi="黑体" w:eastAsia="黑体" w:cs="黑体"/>
          <w:color w:val="auto"/>
          <w:sz w:val="32"/>
          <w:szCs w:val="32"/>
        </w:rPr>
      </w:pPr>
      <w:r>
        <w:rPr>
          <w:rFonts w:ascii="黑体" w:hAnsi="黑体" w:eastAsia="黑体" w:cs="黑体"/>
          <w:color w:val="auto"/>
          <w:spacing w:val="8"/>
          <w:sz w:val="32"/>
          <w:szCs w:val="32"/>
        </w:rPr>
        <w:t>七、概算管理</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29．</w:t>
      </w:r>
      <w:r>
        <w:rPr>
          <w:rFonts w:hint="eastAsia" w:ascii="仿宋_GB2312" w:hAnsi="仿宋_GB2312" w:eastAsia="仿宋_GB2312" w:cs="仿宋_GB2312"/>
          <w:color w:val="auto"/>
          <w:spacing w:val="6"/>
          <w:sz w:val="32"/>
          <w:szCs w:val="32"/>
        </w:rPr>
        <w:t>经</w:t>
      </w:r>
      <w:r>
        <w:rPr>
          <w:rFonts w:hint="eastAsia" w:ascii="仿宋_GB2312" w:hAnsi="仿宋_GB2312" w:eastAsia="仿宋_GB2312" w:cs="仿宋_GB2312"/>
          <w:color w:val="auto"/>
          <w:spacing w:val="5"/>
          <w:sz w:val="32"/>
          <w:szCs w:val="32"/>
        </w:rPr>
        <w:t>批准的投资概算是控制政府投资项目总投资的依据。</w:t>
      </w:r>
      <w:r>
        <w:rPr>
          <w:rFonts w:hint="eastAsia" w:ascii="仿宋_GB2312" w:hAnsi="仿宋_GB2312" w:eastAsia="仿宋_GB2312" w:cs="仿宋_GB2312"/>
          <w:color w:val="auto"/>
          <w:spacing w:val="10"/>
          <w:sz w:val="32"/>
          <w:szCs w:val="32"/>
        </w:rPr>
        <w:t>概算经</w:t>
      </w:r>
      <w:r>
        <w:rPr>
          <w:rFonts w:hint="eastAsia" w:ascii="仿宋_GB2312" w:hAnsi="仿宋_GB2312" w:eastAsia="仿宋_GB2312" w:cs="仿宋_GB2312"/>
          <w:color w:val="auto"/>
          <w:spacing w:val="6"/>
          <w:sz w:val="32"/>
          <w:szCs w:val="32"/>
        </w:rPr>
        <w:t>批</w:t>
      </w:r>
      <w:r>
        <w:rPr>
          <w:rFonts w:hint="eastAsia" w:ascii="仿宋_GB2312" w:hAnsi="仿宋_GB2312" w:eastAsia="仿宋_GB2312" w:cs="仿宋_GB2312"/>
          <w:color w:val="auto"/>
          <w:spacing w:val="5"/>
          <w:sz w:val="32"/>
          <w:szCs w:val="32"/>
        </w:rPr>
        <w:t>复后，原则上不予调整。确需增加投资的，按照“先评</w:t>
      </w:r>
      <w:r>
        <w:rPr>
          <w:rFonts w:hint="eastAsia" w:ascii="仿宋_GB2312" w:hAnsi="仿宋_GB2312" w:eastAsia="仿宋_GB2312" w:cs="仿宋_GB2312"/>
          <w:color w:val="auto"/>
          <w:spacing w:val="16"/>
          <w:sz w:val="32"/>
          <w:szCs w:val="32"/>
        </w:rPr>
        <w:t>估</w:t>
      </w:r>
      <w:r>
        <w:rPr>
          <w:rFonts w:hint="eastAsia" w:ascii="仿宋_GB2312" w:hAnsi="仿宋_GB2312" w:eastAsia="仿宋_GB2312" w:cs="仿宋_GB2312"/>
          <w:color w:val="auto"/>
          <w:spacing w:val="9"/>
          <w:sz w:val="32"/>
          <w:szCs w:val="32"/>
        </w:rPr>
        <w:t>、后定责、再调整”的原则，概算调整原则上不超过一次。</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30．政府投资项目概算调整需对项目调整的内容和原因</w:t>
      </w:r>
      <w:r>
        <w:rPr>
          <w:rFonts w:hint="eastAsia" w:ascii="仿宋_GB2312" w:hAnsi="仿宋_GB2312" w:eastAsia="仿宋_GB2312" w:cs="仿宋_GB2312"/>
          <w:color w:val="auto"/>
          <w:spacing w:val="3"/>
          <w:sz w:val="32"/>
          <w:szCs w:val="32"/>
        </w:rPr>
        <w:t>进</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pacing w:val="-2"/>
          <w:sz w:val="32"/>
          <w:szCs w:val="32"/>
        </w:rPr>
        <w:t>审查，区别不可抗力因素</w:t>
      </w:r>
      <w:r>
        <w:rPr>
          <w:rFonts w:hint="eastAsia" w:ascii="仿宋_GB2312" w:hAnsi="仿宋_GB2312" w:eastAsia="仿宋_GB2312" w:cs="仿宋_GB2312"/>
          <w:color w:val="auto"/>
          <w:spacing w:val="-1"/>
          <w:sz w:val="32"/>
          <w:szCs w:val="32"/>
        </w:rPr>
        <w:t>和人为因素。</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31．有下列情形之一导致概算增加的，由行业主管部门</w:t>
      </w:r>
      <w:r>
        <w:rPr>
          <w:rFonts w:hint="eastAsia" w:ascii="仿宋_GB2312" w:hAnsi="仿宋_GB2312" w:eastAsia="仿宋_GB2312" w:cs="仿宋_GB2312"/>
          <w:color w:val="auto"/>
          <w:spacing w:val="3"/>
          <w:sz w:val="32"/>
          <w:szCs w:val="32"/>
        </w:rPr>
        <w:t>明</w:t>
      </w:r>
      <w:r>
        <w:rPr>
          <w:rFonts w:hint="eastAsia" w:ascii="仿宋_GB2312" w:hAnsi="仿宋_GB2312" w:eastAsia="仿宋_GB2312" w:cs="仿宋_GB2312"/>
          <w:color w:val="auto"/>
          <w:sz w:val="32"/>
          <w:szCs w:val="32"/>
        </w:rPr>
        <w:t>确</w:t>
      </w:r>
      <w:r>
        <w:rPr>
          <w:rFonts w:hint="eastAsia" w:ascii="仿宋_GB2312" w:hAnsi="仿宋_GB2312" w:eastAsia="仿宋_GB2312" w:cs="仿宋_GB2312"/>
          <w:color w:val="FF0000"/>
          <w:spacing w:val="7"/>
          <w:sz w:val="32"/>
          <w:szCs w:val="32"/>
          <w:lang w:eastAsia="zh-CN"/>
        </w:rPr>
        <w:t>认定调整原因为不可抗力因素</w:t>
      </w:r>
      <w:r>
        <w:rPr>
          <w:rFonts w:hint="eastAsia" w:ascii="仿宋_GB2312" w:hAnsi="仿宋_GB2312" w:eastAsia="仿宋_GB2312" w:cs="仿宋_GB2312"/>
          <w:color w:val="auto"/>
          <w:spacing w:val="5"/>
          <w:sz w:val="32"/>
          <w:szCs w:val="32"/>
        </w:rPr>
        <w:t>，并提供书面审查意见后，按程序申请概算调整或</w:t>
      </w:r>
      <w:r>
        <w:rPr>
          <w:rFonts w:hint="eastAsia" w:ascii="仿宋_GB2312" w:hAnsi="仿宋_GB2312" w:eastAsia="仿宋_GB2312" w:cs="仿宋_GB2312"/>
          <w:color w:val="auto"/>
          <w:spacing w:val="-25"/>
          <w:sz w:val="32"/>
          <w:szCs w:val="32"/>
        </w:rPr>
        <w:t>报备：</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lang w:val="en-US" w:eastAsia="zh-CN"/>
        </w:rPr>
        <w:t>1</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国家政策或规划调整；</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lang w:val="en-US" w:eastAsia="zh-CN"/>
        </w:rPr>
        <w:t>2</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价格上涨；</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lang w:val="en-US" w:eastAsia="zh-CN"/>
        </w:rPr>
        <w:t>3</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水</w:t>
      </w:r>
      <w:r>
        <w:rPr>
          <w:rFonts w:hint="eastAsia" w:ascii="仿宋_GB2312" w:hAnsi="仿宋_GB2312" w:eastAsia="仿宋_GB2312" w:cs="仿宋_GB2312"/>
          <w:color w:val="auto"/>
          <w:spacing w:val="-23"/>
          <w:sz w:val="32"/>
          <w:szCs w:val="32"/>
        </w:rPr>
        <w:t>文</w:t>
      </w:r>
      <w:r>
        <w:rPr>
          <w:rFonts w:hint="eastAsia" w:ascii="仿宋_GB2312" w:hAnsi="仿宋_GB2312" w:eastAsia="仿宋_GB2312" w:cs="仿宋_GB2312"/>
          <w:color w:val="auto"/>
          <w:spacing w:val="-25"/>
          <w:sz w:val="32"/>
          <w:szCs w:val="32"/>
        </w:rPr>
        <w:t>和地质条件发生重大变化；</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lang w:val="en-US" w:eastAsia="zh-CN"/>
        </w:rPr>
        <w:t>4</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自然灾害；</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lang w:val="en-US" w:eastAsia="zh-CN"/>
        </w:rPr>
        <w:t>5</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其他不能预见</w:t>
      </w:r>
      <w:r>
        <w:rPr>
          <w:rFonts w:hint="eastAsia" w:ascii="仿宋_GB2312" w:hAnsi="仿宋_GB2312" w:eastAsia="仿宋_GB2312" w:cs="仿宋_GB2312"/>
          <w:color w:val="auto"/>
          <w:spacing w:val="-21"/>
          <w:sz w:val="32"/>
          <w:szCs w:val="32"/>
        </w:rPr>
        <w:t>、</w:t>
      </w:r>
      <w:r>
        <w:rPr>
          <w:rFonts w:hint="eastAsia" w:ascii="仿宋_GB2312" w:hAnsi="仿宋_GB2312" w:eastAsia="仿宋_GB2312" w:cs="仿宋_GB2312"/>
          <w:color w:val="auto"/>
          <w:spacing w:val="13"/>
          <w:sz w:val="32"/>
          <w:szCs w:val="32"/>
        </w:rPr>
        <w:t>不</w:t>
      </w:r>
      <w:r>
        <w:rPr>
          <w:rFonts w:hint="eastAsia" w:ascii="仿宋_GB2312" w:hAnsi="仿宋_GB2312" w:eastAsia="仿宋_GB2312" w:cs="仿宋_GB2312"/>
          <w:color w:val="auto"/>
          <w:spacing w:val="8"/>
          <w:sz w:val="32"/>
          <w:szCs w:val="32"/>
        </w:rPr>
        <w:t>能避免、不能克服的不可抗力等因素。</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32．有下列情形之一的，原则上不得申请概算调整，确</w:t>
      </w:r>
      <w:r>
        <w:rPr>
          <w:rFonts w:hint="eastAsia" w:ascii="仿宋_GB2312" w:hAnsi="仿宋_GB2312" w:eastAsia="仿宋_GB2312" w:cs="仿宋_GB2312"/>
          <w:color w:val="auto"/>
          <w:spacing w:val="3"/>
          <w:sz w:val="32"/>
          <w:szCs w:val="32"/>
        </w:rPr>
        <w:t>需</w:t>
      </w:r>
      <w:r>
        <w:rPr>
          <w:rFonts w:hint="eastAsia" w:ascii="仿宋_GB2312" w:hAnsi="仿宋_GB2312" w:eastAsia="仿宋_GB2312" w:cs="仿宋_GB2312"/>
          <w:color w:val="auto"/>
          <w:sz w:val="32"/>
          <w:szCs w:val="32"/>
        </w:rPr>
        <w:t>调</w:t>
      </w:r>
      <w:r>
        <w:rPr>
          <w:rFonts w:hint="eastAsia" w:ascii="仿宋_GB2312" w:hAnsi="仿宋_GB2312" w:eastAsia="仿宋_GB2312" w:cs="仿宋_GB2312"/>
          <w:color w:val="auto"/>
          <w:spacing w:val="-42"/>
          <w:sz w:val="32"/>
          <w:szCs w:val="32"/>
        </w:rPr>
        <w:t>整</w:t>
      </w:r>
      <w:r>
        <w:rPr>
          <w:rFonts w:hint="eastAsia" w:ascii="仿宋_GB2312" w:hAnsi="仿宋_GB2312" w:eastAsia="仿宋_GB2312" w:cs="仿宋_GB2312"/>
          <w:color w:val="auto"/>
          <w:spacing w:val="-23"/>
          <w:sz w:val="32"/>
          <w:szCs w:val="32"/>
        </w:rPr>
        <w:t>的必须“先定责”：</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lang w:val="en-US" w:eastAsia="zh-CN"/>
        </w:rPr>
        <w:t>1</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合同履行不到位的；</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lang w:val="en-US" w:eastAsia="zh-CN"/>
        </w:rPr>
        <w:t>2</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项目管理</w:t>
      </w:r>
      <w:r>
        <w:rPr>
          <w:rFonts w:hint="eastAsia" w:ascii="仿宋_GB2312" w:hAnsi="仿宋_GB2312" w:eastAsia="仿宋_GB2312" w:cs="仿宋_GB2312"/>
          <w:color w:val="auto"/>
          <w:spacing w:val="-18"/>
          <w:sz w:val="32"/>
          <w:szCs w:val="32"/>
        </w:rPr>
        <w:t>不</w:t>
      </w:r>
      <w:r>
        <w:rPr>
          <w:rFonts w:hint="eastAsia" w:ascii="仿宋_GB2312" w:hAnsi="仿宋_GB2312" w:eastAsia="仿宋_GB2312" w:cs="仿宋_GB2312"/>
          <w:color w:val="auto"/>
          <w:spacing w:val="-16"/>
          <w:sz w:val="32"/>
          <w:szCs w:val="32"/>
        </w:rPr>
        <w:t>善</w:t>
      </w:r>
      <w:r>
        <w:rPr>
          <w:rFonts w:hint="eastAsia" w:ascii="仿宋_GB2312" w:hAnsi="仿宋_GB2312" w:eastAsia="仿宋_GB2312" w:cs="仿宋_GB2312"/>
          <w:color w:val="auto"/>
          <w:spacing w:val="-9"/>
          <w:sz w:val="32"/>
          <w:szCs w:val="32"/>
        </w:rPr>
        <w:t>的；</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lang w:val="en-US" w:eastAsia="zh-CN"/>
        </w:rPr>
        <w:t>3</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擅自增加建设内容、扩大规模、提高标准、改变</w:t>
      </w:r>
      <w:r>
        <w:rPr>
          <w:rFonts w:hint="eastAsia" w:ascii="仿宋_GB2312" w:hAnsi="仿宋_GB2312" w:eastAsia="仿宋_GB2312" w:cs="仿宋_GB2312"/>
          <w:color w:val="auto"/>
          <w:spacing w:val="-19"/>
          <w:sz w:val="32"/>
          <w:szCs w:val="32"/>
        </w:rPr>
        <w:t>设</w:t>
      </w:r>
      <w:r>
        <w:rPr>
          <w:rFonts w:hint="eastAsia" w:ascii="仿宋_GB2312" w:hAnsi="仿宋_GB2312" w:eastAsia="仿宋_GB2312" w:cs="仿宋_GB2312"/>
          <w:color w:val="auto"/>
          <w:spacing w:val="-18"/>
          <w:sz w:val="32"/>
          <w:szCs w:val="32"/>
        </w:rPr>
        <w:t>计方案的；</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lang w:val="en-US" w:eastAsia="zh-CN"/>
        </w:rPr>
        <w:t>4</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报小建大的；</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lang w:val="en-US" w:eastAsia="zh-CN"/>
        </w:rPr>
        <w:t>5</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其他非不可抗力原因。</w:t>
      </w:r>
    </w:p>
    <w:p>
      <w:pPr>
        <w:keepNext w:val="0"/>
        <w:keepLines w:val="0"/>
        <w:pageBreakBefore w:val="0"/>
        <w:widowControl/>
        <w:kinsoku w:val="0"/>
        <w:wordWrap/>
        <w:overflowPunct/>
        <w:topLinePunct w:val="0"/>
        <w:autoSpaceDE/>
        <w:autoSpaceDN/>
        <w:bidi w:val="0"/>
        <w:adjustRightInd/>
        <w:snapToGrid/>
        <w:spacing w:line="580" w:lineRule="exact"/>
        <w:ind w:firstLine="59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33</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6"/>
          <w:sz w:val="32"/>
          <w:szCs w:val="32"/>
        </w:rPr>
        <w:t>概算调整按照以下流程进行审查审批：</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由项目建</w:t>
      </w:r>
      <w:r>
        <w:rPr>
          <w:rFonts w:hint="eastAsia" w:ascii="仿宋_GB2312" w:hAnsi="仿宋_GB2312" w:eastAsia="仿宋_GB2312" w:cs="仿宋_GB2312"/>
          <w:color w:val="auto"/>
          <w:spacing w:val="10"/>
          <w:sz w:val="32"/>
          <w:szCs w:val="32"/>
        </w:rPr>
        <w:t>设单</w:t>
      </w:r>
      <w:r>
        <w:rPr>
          <w:rFonts w:hint="eastAsia" w:ascii="仿宋_GB2312" w:hAnsi="仿宋_GB2312" w:eastAsia="仿宋_GB2312" w:cs="仿宋_GB2312"/>
          <w:color w:val="auto"/>
          <w:spacing w:val="6"/>
          <w:sz w:val="32"/>
          <w:szCs w:val="32"/>
        </w:rPr>
        <w:t>位</w:t>
      </w:r>
      <w:r>
        <w:rPr>
          <w:rFonts w:hint="eastAsia" w:ascii="仿宋_GB2312" w:hAnsi="仿宋_GB2312" w:eastAsia="仿宋_GB2312" w:cs="仿宋_GB2312"/>
          <w:color w:val="auto"/>
          <w:spacing w:val="5"/>
          <w:sz w:val="32"/>
          <w:szCs w:val="32"/>
        </w:rPr>
        <w:t>报行业主管部门对超概原因和责任进行分析，并提出责任</w:t>
      </w:r>
      <w:r>
        <w:rPr>
          <w:rFonts w:hint="eastAsia" w:ascii="仿宋_GB2312" w:hAnsi="仿宋_GB2312" w:eastAsia="仿宋_GB2312" w:cs="仿宋_GB2312"/>
          <w:color w:val="auto"/>
          <w:spacing w:val="-5"/>
          <w:sz w:val="32"/>
          <w:szCs w:val="32"/>
        </w:rPr>
        <w:t>追究意见；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由建设单位报区分管领导同意启动概算调</w:t>
      </w:r>
      <w:r>
        <w:rPr>
          <w:rFonts w:hint="eastAsia" w:ascii="仿宋_GB2312" w:hAnsi="仿宋_GB2312" w:eastAsia="仿宋_GB2312" w:cs="仿宋_GB2312"/>
          <w:color w:val="auto"/>
          <w:spacing w:val="-4"/>
          <w:sz w:val="32"/>
          <w:szCs w:val="32"/>
        </w:rPr>
        <w:t>整</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pacing w:val="-5"/>
          <w:sz w:val="32"/>
          <w:szCs w:val="32"/>
        </w:rPr>
        <w:t>查程序；</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由区发改局委托第三方造价单位对新编制概</w:t>
      </w:r>
      <w:r>
        <w:rPr>
          <w:rFonts w:hint="eastAsia" w:ascii="仿宋_GB2312" w:hAnsi="仿宋_GB2312" w:eastAsia="仿宋_GB2312" w:cs="仿宋_GB2312"/>
          <w:color w:val="auto"/>
          <w:spacing w:val="-4"/>
          <w:sz w:val="32"/>
          <w:szCs w:val="32"/>
        </w:rPr>
        <w:t>算</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pacing w:val="-5"/>
          <w:sz w:val="32"/>
          <w:szCs w:val="32"/>
        </w:rPr>
        <w:t>具审查意见；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由区府办牵头召开区级专题会议或区发</w:t>
      </w:r>
      <w:r>
        <w:rPr>
          <w:rFonts w:hint="eastAsia" w:ascii="仿宋_GB2312" w:hAnsi="仿宋_GB2312" w:eastAsia="仿宋_GB2312" w:cs="仿宋_GB2312"/>
          <w:color w:val="auto"/>
          <w:spacing w:val="-4"/>
          <w:sz w:val="32"/>
          <w:szCs w:val="32"/>
        </w:rPr>
        <w:t>改</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pacing w:val="10"/>
          <w:sz w:val="32"/>
          <w:szCs w:val="32"/>
        </w:rPr>
        <w:t>牵头</w:t>
      </w:r>
      <w:r>
        <w:rPr>
          <w:rFonts w:hint="eastAsia" w:ascii="仿宋_GB2312" w:hAnsi="仿宋_GB2312" w:eastAsia="仿宋_GB2312" w:cs="仿宋_GB2312"/>
          <w:color w:val="auto"/>
          <w:spacing w:val="6"/>
          <w:sz w:val="32"/>
          <w:szCs w:val="32"/>
        </w:rPr>
        <w:t>召</w:t>
      </w:r>
      <w:r>
        <w:rPr>
          <w:rFonts w:hint="eastAsia" w:ascii="仿宋_GB2312" w:hAnsi="仿宋_GB2312" w:eastAsia="仿宋_GB2312" w:cs="仿宋_GB2312"/>
          <w:color w:val="auto"/>
          <w:spacing w:val="5"/>
          <w:sz w:val="32"/>
          <w:szCs w:val="32"/>
        </w:rPr>
        <w:t>开政府投资重点建设联席会议，组织各相关部门、专家进</w:t>
      </w:r>
      <w:r>
        <w:rPr>
          <w:rFonts w:hint="eastAsia" w:ascii="仿宋_GB2312" w:hAnsi="仿宋_GB2312" w:eastAsia="仿宋_GB2312" w:cs="仿宋_GB2312"/>
          <w:color w:val="auto"/>
          <w:spacing w:val="-5"/>
          <w:sz w:val="32"/>
          <w:szCs w:val="32"/>
        </w:rPr>
        <w:t>行概算审查联合会议；</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5</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征求财政部门意见，明确项目</w:t>
      </w:r>
      <w:r>
        <w:rPr>
          <w:rFonts w:hint="eastAsia" w:ascii="仿宋_GB2312" w:hAnsi="仿宋_GB2312" w:eastAsia="仿宋_GB2312" w:cs="仿宋_GB2312"/>
          <w:color w:val="auto"/>
          <w:spacing w:val="-4"/>
          <w:sz w:val="32"/>
          <w:szCs w:val="32"/>
        </w:rPr>
        <w:t>资</w:t>
      </w:r>
      <w:r>
        <w:rPr>
          <w:rFonts w:hint="eastAsia" w:ascii="仿宋_GB2312" w:hAnsi="仿宋_GB2312" w:eastAsia="仿宋_GB2312" w:cs="仿宋_GB2312"/>
          <w:color w:val="auto"/>
          <w:sz w:val="32"/>
          <w:szCs w:val="32"/>
        </w:rPr>
        <w:t>金</w:t>
      </w:r>
      <w:r>
        <w:rPr>
          <w:rFonts w:hint="eastAsia" w:ascii="仿宋_GB2312" w:hAnsi="仿宋_GB2312" w:eastAsia="仿宋_GB2312" w:cs="仿宋_GB2312"/>
          <w:color w:val="auto"/>
          <w:spacing w:val="-26"/>
          <w:sz w:val="32"/>
          <w:szCs w:val="32"/>
        </w:rPr>
        <w:t>来源</w:t>
      </w:r>
      <w:r>
        <w:rPr>
          <w:rFonts w:hint="eastAsia" w:ascii="仿宋_GB2312" w:hAnsi="仿宋_GB2312" w:eastAsia="仿宋_GB2312" w:cs="仿宋_GB2312"/>
          <w:color w:val="auto"/>
          <w:spacing w:val="-18"/>
          <w:sz w:val="32"/>
          <w:szCs w:val="32"/>
        </w:rPr>
        <w:t>；</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lang w:val="en-US" w:eastAsia="zh-CN"/>
        </w:rPr>
        <w:t>6</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超过概算500万元以上或超概比例30%以上的项目，</w:t>
      </w:r>
      <w:r>
        <w:rPr>
          <w:rFonts w:hint="eastAsia" w:ascii="仿宋_GB2312" w:hAnsi="仿宋_GB2312" w:eastAsia="仿宋_GB2312" w:cs="仿宋_GB2312"/>
          <w:color w:val="auto"/>
          <w:spacing w:val="19"/>
          <w:sz w:val="32"/>
          <w:szCs w:val="32"/>
        </w:rPr>
        <w:t>建</w:t>
      </w:r>
      <w:r>
        <w:rPr>
          <w:rFonts w:hint="eastAsia" w:ascii="仿宋_GB2312" w:hAnsi="仿宋_GB2312" w:eastAsia="仿宋_GB2312" w:cs="仿宋_GB2312"/>
          <w:color w:val="auto"/>
          <w:spacing w:val="17"/>
          <w:sz w:val="32"/>
          <w:szCs w:val="32"/>
        </w:rPr>
        <w:t>设单位需报区政府项目分管领导或区级专题会议最终审核同</w:t>
      </w:r>
      <w:r>
        <w:rPr>
          <w:rFonts w:hint="eastAsia" w:ascii="仿宋_GB2312" w:hAnsi="仿宋_GB2312" w:eastAsia="仿宋_GB2312" w:cs="仿宋_GB2312"/>
          <w:color w:val="auto"/>
          <w:spacing w:val="12"/>
          <w:sz w:val="32"/>
          <w:szCs w:val="32"/>
        </w:rPr>
        <w:t>意</w:t>
      </w:r>
      <w:r>
        <w:rPr>
          <w:rFonts w:hint="eastAsia" w:ascii="仿宋_GB2312" w:hAnsi="仿宋_GB2312" w:eastAsia="仿宋_GB2312" w:cs="仿宋_GB2312"/>
          <w:color w:val="auto"/>
          <w:spacing w:val="7"/>
          <w:sz w:val="32"/>
          <w:szCs w:val="32"/>
        </w:rPr>
        <w:t>，才能调整概算。</w:t>
      </w:r>
    </w:p>
    <w:p>
      <w:pPr>
        <w:keepNext w:val="0"/>
        <w:keepLines w:val="0"/>
        <w:pageBreakBefore w:val="0"/>
        <w:widowControl/>
        <w:kinsoku w:val="0"/>
        <w:wordWrap/>
        <w:overflowPunct/>
        <w:topLinePunct w:val="0"/>
        <w:autoSpaceDE/>
        <w:autoSpaceDN/>
        <w:bidi w:val="0"/>
        <w:adjustRightInd/>
        <w:snapToGrid/>
        <w:spacing w:line="580" w:lineRule="exact"/>
        <w:ind w:firstLine="672" w:firstLineChars="200"/>
        <w:jc w:val="both"/>
        <w:textAlignment w:val="baseline"/>
        <w:rPr>
          <w:rFonts w:ascii="黑体" w:hAnsi="黑体" w:eastAsia="黑体" w:cs="黑体"/>
          <w:color w:val="auto"/>
          <w:sz w:val="32"/>
          <w:szCs w:val="32"/>
        </w:rPr>
      </w:pPr>
      <w:r>
        <w:rPr>
          <w:rFonts w:hint="eastAsia" w:ascii="黑体" w:hAnsi="黑体" w:eastAsia="黑体" w:cs="黑体"/>
          <w:color w:val="auto"/>
          <w:spacing w:val="8"/>
          <w:sz w:val="32"/>
          <w:szCs w:val="32"/>
        </w:rPr>
        <w:t>八、工期监</w:t>
      </w:r>
      <w:r>
        <w:rPr>
          <w:rFonts w:hint="eastAsia" w:ascii="黑体" w:hAnsi="黑体" w:eastAsia="黑体" w:cs="黑体"/>
          <w:color w:val="auto"/>
          <w:spacing w:val="7"/>
          <w:sz w:val="32"/>
          <w:szCs w:val="32"/>
        </w:rPr>
        <w:t>管</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34．对不具备施工条件的政府投资项目，包括施工图纸</w:t>
      </w:r>
      <w:r>
        <w:rPr>
          <w:rFonts w:hint="eastAsia" w:ascii="仿宋_GB2312" w:hAnsi="仿宋_GB2312" w:eastAsia="仿宋_GB2312" w:cs="仿宋_GB2312"/>
          <w:color w:val="auto"/>
          <w:spacing w:val="3"/>
          <w:sz w:val="32"/>
          <w:szCs w:val="32"/>
        </w:rPr>
        <w:t>不</w:t>
      </w:r>
      <w:r>
        <w:rPr>
          <w:rFonts w:hint="eastAsia" w:ascii="仿宋_GB2312" w:hAnsi="仿宋_GB2312" w:eastAsia="仿宋_GB2312" w:cs="仿宋_GB2312"/>
          <w:color w:val="auto"/>
          <w:sz w:val="32"/>
          <w:szCs w:val="32"/>
        </w:rPr>
        <w:t>完</w:t>
      </w:r>
      <w:r>
        <w:rPr>
          <w:rFonts w:hint="eastAsia" w:ascii="仿宋_GB2312" w:hAnsi="仿宋_GB2312" w:eastAsia="仿宋_GB2312" w:cs="仿宋_GB2312"/>
          <w:color w:val="auto"/>
          <w:spacing w:val="10"/>
          <w:sz w:val="32"/>
          <w:szCs w:val="32"/>
        </w:rPr>
        <w:t>整</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5"/>
          <w:sz w:val="32"/>
          <w:szCs w:val="32"/>
        </w:rPr>
        <w:t>建设资金不到位、现场拆迁或“三通一平”未到位的，原则</w:t>
      </w:r>
      <w:r>
        <w:rPr>
          <w:rFonts w:hint="eastAsia" w:ascii="仿宋_GB2312" w:hAnsi="仿宋_GB2312" w:eastAsia="仿宋_GB2312" w:cs="仿宋_GB2312"/>
          <w:color w:val="auto"/>
          <w:spacing w:val="11"/>
          <w:sz w:val="32"/>
          <w:szCs w:val="32"/>
        </w:rPr>
        <w:t>上</w:t>
      </w:r>
      <w:r>
        <w:rPr>
          <w:rFonts w:hint="eastAsia" w:ascii="仿宋_GB2312" w:hAnsi="仿宋_GB2312" w:eastAsia="仿宋_GB2312" w:cs="仿宋_GB2312"/>
          <w:color w:val="auto"/>
          <w:spacing w:val="7"/>
          <w:sz w:val="32"/>
          <w:szCs w:val="32"/>
        </w:rPr>
        <w:t>不应进行施工招投标。</w:t>
      </w:r>
    </w:p>
    <w:p>
      <w:pPr>
        <w:keepNext w:val="0"/>
        <w:keepLines w:val="0"/>
        <w:pageBreakBefore w:val="0"/>
        <w:widowControl/>
        <w:kinsoku w:val="0"/>
        <w:wordWrap/>
        <w:overflowPunct/>
        <w:topLinePunct w:val="0"/>
        <w:autoSpaceDE/>
        <w:autoSpaceDN/>
        <w:bidi w:val="0"/>
        <w:adjustRightInd/>
        <w:snapToGrid/>
        <w:spacing w:line="580" w:lineRule="exact"/>
        <w:ind w:firstLine="68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3</w:t>
      </w:r>
      <w:r>
        <w:rPr>
          <w:rFonts w:hint="eastAsia" w:ascii="仿宋_GB2312" w:hAnsi="仿宋_GB2312" w:eastAsia="仿宋_GB2312" w:cs="仿宋_GB2312"/>
          <w:color w:val="auto"/>
          <w:spacing w:val="8"/>
          <w:sz w:val="32"/>
          <w:szCs w:val="32"/>
        </w:rPr>
        <w:t>5</w:t>
      </w:r>
      <w:r>
        <w:rPr>
          <w:rFonts w:hint="eastAsia" w:ascii="仿宋_GB2312" w:hAnsi="仿宋_GB2312" w:eastAsia="仿宋_GB2312" w:cs="仿宋_GB2312"/>
          <w:color w:val="auto"/>
          <w:spacing w:val="5"/>
          <w:sz w:val="32"/>
          <w:szCs w:val="32"/>
        </w:rPr>
        <w:t>．加强对招标文件的审查，在招标文件合同主要条款中，</w:t>
      </w:r>
      <w:r>
        <w:rPr>
          <w:rFonts w:hint="eastAsia" w:ascii="仿宋_GB2312" w:hAnsi="仿宋_GB2312" w:eastAsia="仿宋_GB2312" w:cs="仿宋_GB2312"/>
          <w:color w:val="auto"/>
          <w:spacing w:val="9"/>
          <w:sz w:val="32"/>
          <w:szCs w:val="32"/>
        </w:rPr>
        <w:t>细</w:t>
      </w:r>
      <w:r>
        <w:rPr>
          <w:rFonts w:hint="eastAsia" w:ascii="仿宋_GB2312" w:hAnsi="仿宋_GB2312" w:eastAsia="仿宋_GB2312" w:cs="仿宋_GB2312"/>
          <w:color w:val="auto"/>
          <w:spacing w:val="8"/>
          <w:sz w:val="32"/>
          <w:szCs w:val="32"/>
        </w:rPr>
        <w:t>化工期违约责任；招标工期应当合理。</w:t>
      </w:r>
    </w:p>
    <w:p>
      <w:pPr>
        <w:keepNext w:val="0"/>
        <w:keepLines w:val="0"/>
        <w:pageBreakBefore w:val="0"/>
        <w:widowControl/>
        <w:kinsoku w:val="0"/>
        <w:wordWrap/>
        <w:overflowPunct/>
        <w:topLinePunct w:val="0"/>
        <w:autoSpaceDE/>
        <w:autoSpaceDN/>
        <w:bidi w:val="0"/>
        <w:adjustRightInd/>
        <w:snapToGrid/>
        <w:spacing w:line="580" w:lineRule="exact"/>
        <w:ind w:firstLine="69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3</w:t>
      </w:r>
      <w:r>
        <w:rPr>
          <w:rFonts w:hint="eastAsia" w:ascii="仿宋_GB2312" w:hAnsi="仿宋_GB2312" w:eastAsia="仿宋_GB2312" w:cs="仿宋_GB2312"/>
          <w:color w:val="auto"/>
          <w:spacing w:val="13"/>
          <w:sz w:val="32"/>
          <w:szCs w:val="32"/>
        </w:rPr>
        <w:t>6</w:t>
      </w:r>
      <w:r>
        <w:rPr>
          <w:rFonts w:hint="eastAsia" w:ascii="仿宋_GB2312" w:hAnsi="仿宋_GB2312" w:eastAsia="仿宋_GB2312" w:cs="仿宋_GB2312"/>
          <w:color w:val="auto"/>
          <w:spacing w:val="7"/>
          <w:sz w:val="32"/>
          <w:szCs w:val="32"/>
        </w:rPr>
        <w:t>．政府投资项目重大变更后应相应调整工期计划。</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37．建设单位加强工期管理，督促施工和监理单位切实</w:t>
      </w:r>
      <w:r>
        <w:rPr>
          <w:rFonts w:hint="eastAsia" w:ascii="仿宋_GB2312" w:hAnsi="仿宋_GB2312" w:eastAsia="仿宋_GB2312" w:cs="仿宋_GB2312"/>
          <w:color w:val="auto"/>
          <w:spacing w:val="3"/>
          <w:sz w:val="32"/>
          <w:szCs w:val="32"/>
        </w:rPr>
        <w:t>履</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pacing w:val="10"/>
          <w:sz w:val="32"/>
          <w:szCs w:val="32"/>
        </w:rPr>
        <w:t>对</w:t>
      </w:r>
      <w:r>
        <w:rPr>
          <w:rFonts w:hint="eastAsia" w:ascii="仿宋_GB2312" w:hAnsi="仿宋_GB2312" w:eastAsia="仿宋_GB2312" w:cs="仿宋_GB2312"/>
          <w:color w:val="auto"/>
          <w:spacing w:val="7"/>
          <w:sz w:val="32"/>
          <w:szCs w:val="32"/>
        </w:rPr>
        <w:t>工程进度控制的义务。</w:t>
      </w:r>
    </w:p>
    <w:p>
      <w:pPr>
        <w:keepNext w:val="0"/>
        <w:keepLines w:val="0"/>
        <w:pageBreakBefore w:val="0"/>
        <w:widowControl/>
        <w:kinsoku w:val="0"/>
        <w:wordWrap/>
        <w:overflowPunct/>
        <w:topLinePunct w:val="0"/>
        <w:autoSpaceDE/>
        <w:autoSpaceDN/>
        <w:bidi w:val="0"/>
        <w:adjustRightInd/>
        <w:snapToGrid/>
        <w:spacing w:line="580" w:lineRule="exact"/>
        <w:ind w:firstLine="656"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38．</w:t>
      </w:r>
      <w:r>
        <w:rPr>
          <w:rFonts w:hint="eastAsia" w:ascii="仿宋_GB2312" w:hAnsi="仿宋_GB2312" w:eastAsia="仿宋_GB2312" w:cs="仿宋_GB2312"/>
          <w:color w:val="auto"/>
          <w:spacing w:val="5"/>
          <w:sz w:val="32"/>
          <w:szCs w:val="32"/>
        </w:rPr>
        <w:t>行业主管部门做好监管，依法将施工、监理单位工期管理</w:t>
      </w:r>
      <w:r>
        <w:rPr>
          <w:rFonts w:hint="eastAsia" w:ascii="仿宋_GB2312" w:hAnsi="仿宋_GB2312" w:eastAsia="仿宋_GB2312" w:cs="仿宋_GB2312"/>
          <w:color w:val="auto"/>
          <w:spacing w:val="3"/>
          <w:sz w:val="32"/>
          <w:szCs w:val="32"/>
        </w:rPr>
        <w:t>行</w:t>
      </w:r>
      <w:r>
        <w:rPr>
          <w:rFonts w:hint="eastAsia" w:ascii="仿宋_GB2312" w:hAnsi="仿宋_GB2312" w:eastAsia="仿宋_GB2312" w:cs="仿宋_GB2312"/>
          <w:color w:val="auto"/>
          <w:spacing w:val="15"/>
          <w:sz w:val="32"/>
          <w:szCs w:val="32"/>
        </w:rPr>
        <w:t>为</w:t>
      </w:r>
      <w:r>
        <w:rPr>
          <w:rFonts w:hint="eastAsia" w:ascii="仿宋_GB2312" w:hAnsi="仿宋_GB2312" w:eastAsia="仿宋_GB2312" w:cs="仿宋_GB2312"/>
          <w:color w:val="auto"/>
          <w:spacing w:val="8"/>
          <w:sz w:val="32"/>
          <w:szCs w:val="32"/>
        </w:rPr>
        <w:t>纳入企业信用评价管理，促使企业诚信履约。</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textAlignment w:val="baseline"/>
        <w:rPr>
          <w:color w:val="auto"/>
          <w:sz w:val="32"/>
          <w:szCs w:val="32"/>
        </w:rPr>
      </w:pPr>
      <w:r>
        <w:rPr>
          <w:rFonts w:ascii="黑体" w:hAnsi="宋体" w:eastAsia="黑体" w:cs="黑体"/>
          <w:color w:val="auto"/>
          <w:sz w:val="32"/>
          <w:szCs w:val="32"/>
          <w:lang w:bidi="ar"/>
        </w:rPr>
        <w:t xml:space="preserve">九、标后工程变更管理 </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textAlignment w:val="baseline"/>
        <w:rPr>
          <w:rFonts w:ascii="仿宋_GB2312" w:hAnsi="宋体" w:eastAsia="仿宋_GB2312" w:cs="仿宋_GB2312"/>
          <w:color w:val="auto"/>
          <w:sz w:val="32"/>
          <w:szCs w:val="32"/>
          <w:highlight w:val="green"/>
          <w:lang w:bidi="ar"/>
        </w:rPr>
      </w:pPr>
      <w:r>
        <w:rPr>
          <w:rFonts w:ascii="仿宋_GB2312" w:hAnsi="宋体" w:eastAsia="仿宋_GB2312" w:cs="仿宋_GB2312"/>
          <w:color w:val="auto"/>
          <w:sz w:val="32"/>
          <w:szCs w:val="32"/>
          <w:lang w:bidi="ar"/>
        </w:rPr>
        <w:t>39．适用范围：已批复初步设计的政府投资项目，按规定发</w:t>
      </w:r>
      <w:r>
        <w:rPr>
          <w:rFonts w:hint="eastAsia" w:ascii="仿宋_GB2312" w:hAnsi="宋体" w:eastAsia="仿宋_GB2312" w:cs="仿宋_GB2312"/>
          <w:color w:val="auto"/>
          <w:sz w:val="32"/>
          <w:szCs w:val="32"/>
          <w:lang w:bidi="ar"/>
        </w:rPr>
        <w:t>包，有明确工程量清单和工程单价，在合同签订后的实施过程中所发生的工程变更。工程变更包括：（1）工程设计变更；（2）材料与设备的换用；（3）工程量和费用的增减；（4）工程建设标准的改变及其他涉及造价的变更等；（5）由施工方以外原因引起工程费用调整的施工组织设计变更；（6）其他涉及工程投资的变更。</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textAlignment w:val="baseline"/>
        <w:rPr>
          <w:rFonts w:ascii="仿宋_GB2312" w:hAnsi="宋体" w:eastAsia="仿宋_GB2312" w:cs="仿宋_GB2312"/>
          <w:color w:val="auto"/>
          <w:sz w:val="32"/>
          <w:szCs w:val="32"/>
          <w:highlight w:val="yellow"/>
          <w:lang w:bidi="ar"/>
        </w:rPr>
      </w:pPr>
      <w:r>
        <w:rPr>
          <w:rFonts w:hint="eastAsia" w:ascii="仿宋_GB2312" w:hAnsi="宋体" w:eastAsia="仿宋_GB2312" w:cs="仿宋_GB2312"/>
          <w:color w:val="auto"/>
          <w:sz w:val="32"/>
          <w:szCs w:val="32"/>
          <w:lang w:bidi="ar"/>
        </w:rPr>
        <w:t>40. 以下情形不属于本细则所称的工程变更范围，按照国家有关规定和合同约定执行：（1）合同中约定暂估价的询价采购、合同约定暂估量的测定核实；（2）人工、机械、材料、设备等要素价格约定承担风险的范围、幅度的调整；（3）由于工程量清单编制质量原因，引起工程量清单的差异或误差及政策性文件调价引起的工程价款变化。</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color w:val="auto"/>
          <w:sz w:val="32"/>
          <w:szCs w:val="32"/>
        </w:rPr>
      </w:pPr>
      <w:r>
        <w:rPr>
          <w:rFonts w:hint="eastAsia" w:ascii="仿宋_GB2312" w:hAnsi="宋体" w:eastAsia="仿宋_GB2312" w:cs="仿宋_GB2312"/>
          <w:color w:val="auto"/>
          <w:sz w:val="32"/>
          <w:szCs w:val="32"/>
          <w:lang w:bidi="ar"/>
        </w:rPr>
        <w:t>41．区发改局、区财政局、区住建局、区交通运输局、区农业农村局、</w:t>
      </w:r>
      <w:r>
        <w:rPr>
          <w:rFonts w:hint="eastAsia" w:ascii="Times New Roman" w:hAnsi="Times New Roman" w:eastAsia="仿宋_GB2312" w:cs="Times New Roman"/>
          <w:color w:val="auto"/>
          <w:sz w:val="32"/>
          <w:szCs w:val="32"/>
        </w:rPr>
        <w:t>区文化和广电旅游体育局、</w:t>
      </w:r>
      <w:r>
        <w:rPr>
          <w:rFonts w:hint="eastAsia" w:ascii="仿宋_GB2312" w:hAnsi="宋体" w:eastAsia="仿宋_GB2312" w:cs="仿宋_GB2312"/>
          <w:color w:val="auto"/>
          <w:sz w:val="32"/>
          <w:szCs w:val="32"/>
          <w:lang w:bidi="ar"/>
        </w:rPr>
        <w:t xml:space="preserve">区综合行政执法局、区大数据管理中心等职能部门联合成立鹿城区政府投资项目标后工程重大变更监管联席会议小组（以下简称联席会议小组）。 </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区发改局负责对政府投资项目标后合同内容变更的监督和管理，组织重点建设联席会议研究，负责工程重大变更方案费用控制金额的核定。</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区财政局负责对政府投资项目标后合同内容变更费用监管，会同区发改局、行业主管部门做好对工程变更方案的联合审查。</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color w:val="auto"/>
          <w:sz w:val="32"/>
          <w:szCs w:val="32"/>
          <w:highlight w:val="yellow"/>
        </w:rPr>
      </w:pPr>
      <w:r>
        <w:rPr>
          <w:rFonts w:hint="eastAsia" w:ascii="仿宋_GB2312" w:hAnsi="宋体" w:eastAsia="仿宋_GB2312" w:cs="仿宋_GB2312"/>
          <w:color w:val="auto"/>
          <w:sz w:val="32"/>
          <w:szCs w:val="32"/>
          <w:lang w:bidi="ar"/>
        </w:rPr>
        <w:t xml:space="preserve">各行业主管部门负责本行业政府投资项目变更的监督管理工作，是项目工期和合同价款变更的监督主体，负责组织本行业项目重大变更、较大变更必要性及技术方案审查，会同区发改局做好对工程重大变更方案的联合审查，负责工程较大变更方案及费用控制金额的核定。 </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rFonts w:hint="eastAsia" w:ascii="仿宋_GB2312" w:hAnsi="宋体" w:eastAsia="仿宋_GB2312" w:cs="仿宋_GB2312"/>
          <w:color w:val="auto"/>
          <w:sz w:val="32"/>
          <w:szCs w:val="32"/>
          <w:lang w:eastAsia="zh-CN" w:bidi="ar"/>
        </w:rPr>
      </w:pPr>
      <w:r>
        <w:rPr>
          <w:rFonts w:hint="eastAsia" w:ascii="仿宋_GB2312" w:hAnsi="宋体" w:eastAsia="仿宋_GB2312" w:cs="仿宋_GB2312"/>
          <w:color w:val="auto"/>
          <w:sz w:val="32"/>
          <w:szCs w:val="32"/>
          <w:lang w:bidi="ar"/>
        </w:rPr>
        <w:t>建设单位作为政府投资项目变更管理的第一责任人，负责对项目工程变更的管理工作，组织变更的实施</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负责工程一般变更方案及费用控制金额的核定</w:t>
      </w:r>
      <w:r>
        <w:rPr>
          <w:rFonts w:hint="eastAsia" w:ascii="仿宋_GB2312" w:hAnsi="宋体" w:eastAsia="仿宋_GB2312" w:cs="仿宋_GB2312"/>
          <w:color w:val="auto"/>
          <w:sz w:val="32"/>
          <w:szCs w:val="32"/>
          <w:lang w:eastAsia="zh-CN" w:bidi="ar"/>
        </w:rPr>
        <w:t>。</w:t>
      </w:r>
    </w:p>
    <w:p>
      <w:pPr>
        <w:keepNext w:val="0"/>
        <w:keepLines w:val="0"/>
        <w:pageBreakBefore w:val="0"/>
        <w:widowControl/>
        <w:numPr>
          <w:ilvl w:val="255"/>
          <w:numId w:val="0"/>
        </w:numPr>
        <w:kinsoku w:val="0"/>
        <w:wordWrap/>
        <w:overflowPunct/>
        <w:topLinePunct w:val="0"/>
        <w:autoSpaceDE/>
        <w:autoSpaceDN/>
        <w:bidi w:val="0"/>
        <w:adjustRightInd/>
        <w:snapToGrid/>
        <w:spacing w:before="0" w:line="580" w:lineRule="exact"/>
        <w:ind w:firstLine="675"/>
        <w:jc w:val="both"/>
        <w:textAlignment w:val="baseline"/>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42．政府投资项目标后工程变更实行严格控制，建设单位不得擅自改变建设内容、建设标准及投资规模。采用 EPC 总承包的政府投资项目，工程变更后的总造价原则上不可超过合同价。</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rFonts w:ascii="仿宋_GB2312" w:hAnsi="宋体" w:eastAsia="仿宋_GB2312" w:cs="仿宋_GB2312"/>
          <w:color w:val="auto"/>
          <w:sz w:val="32"/>
          <w:szCs w:val="32"/>
          <w:u w:val="single"/>
          <w:lang w:bidi="ar"/>
        </w:rPr>
      </w:pPr>
      <w:r>
        <w:rPr>
          <w:rFonts w:hint="eastAsia" w:ascii="仿宋_GB2312" w:hAnsi="宋体" w:eastAsia="仿宋_GB2312" w:cs="仿宋_GB2312"/>
          <w:color w:val="auto"/>
          <w:sz w:val="32"/>
          <w:szCs w:val="32"/>
          <w:lang w:bidi="ar"/>
        </w:rPr>
        <w:t>43.工程变更遵循“先审批、后实施”原则，对未经批准擅自变更并实施的，区发改局、行业主管部门原则上不予受理</w:t>
      </w:r>
      <w:r>
        <w:rPr>
          <w:rFonts w:ascii="仿宋_GB2312" w:hAnsi="宋体" w:eastAsia="仿宋_GB2312" w:cs="仿宋_GB2312"/>
          <w:color w:val="auto"/>
          <w:sz w:val="32"/>
          <w:szCs w:val="32"/>
          <w:lang w:bidi="ar"/>
        </w:rPr>
        <w:t>,</w:t>
      </w:r>
      <w:r>
        <w:rPr>
          <w:rFonts w:hint="eastAsia" w:ascii="仿宋_GB2312" w:hAnsi="宋体" w:eastAsia="仿宋_GB2312" w:cs="仿宋_GB2312"/>
          <w:color w:val="auto"/>
          <w:sz w:val="32"/>
          <w:szCs w:val="32"/>
          <w:lang w:bidi="ar"/>
        </w:rPr>
        <w:t>区财政局原则上不予纳入工程价款支付。</w:t>
      </w:r>
    </w:p>
    <w:p>
      <w:pPr>
        <w:keepNext w:val="0"/>
        <w:keepLines w:val="0"/>
        <w:pageBreakBefore w:val="0"/>
        <w:widowControl/>
        <w:numPr>
          <w:ilvl w:val="255"/>
          <w:numId w:val="0"/>
        </w:numPr>
        <w:kinsoku w:val="0"/>
        <w:wordWrap/>
        <w:overflowPunct/>
        <w:topLinePunct w:val="0"/>
        <w:autoSpaceDE/>
        <w:autoSpaceDN/>
        <w:bidi w:val="0"/>
        <w:adjustRightInd w:val="0"/>
        <w:snapToGrid w:val="0"/>
        <w:spacing w:line="580" w:lineRule="exact"/>
        <w:ind w:firstLine="640" w:firstLineChars="200"/>
        <w:jc w:val="both"/>
        <w:textAlignment w:val="baseline"/>
        <w:rPr>
          <w:rFonts w:eastAsia="仿宋_GB2312"/>
          <w:color w:val="auto"/>
          <w:sz w:val="32"/>
          <w:szCs w:val="32"/>
        </w:rPr>
      </w:pPr>
      <w:r>
        <w:rPr>
          <w:rFonts w:hint="eastAsia" w:ascii="仿宋_GB2312" w:hAnsi="宋体" w:eastAsia="仿宋_GB2312" w:cs="仿宋_GB2312"/>
          <w:color w:val="auto"/>
          <w:sz w:val="32"/>
          <w:szCs w:val="32"/>
          <w:lang w:bidi="ar"/>
        </w:rPr>
        <w:t>44</w:t>
      </w:r>
      <w:r>
        <w:rPr>
          <w:rFonts w:ascii="仿宋_GB2312" w:hAnsi="宋体" w:eastAsia="仿宋_GB2312" w:cs="仿宋_GB2312"/>
          <w:color w:val="auto"/>
          <w:sz w:val="32"/>
          <w:szCs w:val="32"/>
          <w:lang w:bidi="ar"/>
        </w:rPr>
        <w:t>．</w:t>
      </w:r>
      <w:r>
        <w:rPr>
          <w:rFonts w:hint="eastAsia" w:ascii="仿宋_GB2312" w:hAnsi="宋体" w:eastAsia="仿宋_GB2312" w:cs="仿宋_GB2312"/>
          <w:color w:val="auto"/>
          <w:sz w:val="32"/>
          <w:szCs w:val="32"/>
          <w:lang w:bidi="ar"/>
        </w:rPr>
        <w:t>政府投资项目工程变更等级分为重大变更、较大变更、一般变更。</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val="en-US" w:eastAsia="zh-CN" w:bidi="ar"/>
        </w:rPr>
        <w:t>1</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重大变更：工程单项变更绝对增减额超过400万元（含）的。</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val="en-US" w:eastAsia="zh-CN" w:bidi="ar"/>
        </w:rPr>
        <w:t>2</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较大变更：工程单项变更绝对增减额在50万元（含）-400万元的。</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val="en-US" w:eastAsia="zh-CN" w:bidi="ar"/>
        </w:rPr>
        <w:t>3</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一般变更：工程单项变更绝对增减额在50万元以下。</w:t>
      </w:r>
    </w:p>
    <w:p>
      <w:pPr>
        <w:keepNext w:val="0"/>
        <w:keepLines w:val="0"/>
        <w:pageBreakBefore w:val="0"/>
        <w:widowControl/>
        <w:numPr>
          <w:ilvl w:val="255"/>
          <w:numId w:val="0"/>
        </w:numPr>
        <w:kinsoku w:val="0"/>
        <w:wordWrap/>
        <w:overflowPunct/>
        <w:topLinePunct w:val="0"/>
        <w:autoSpaceDE/>
        <w:autoSpaceDN/>
        <w:bidi w:val="0"/>
        <w:adjustRightInd w:val="0"/>
        <w:snapToGrid w:val="0"/>
        <w:spacing w:line="580" w:lineRule="exact"/>
        <w:ind w:firstLine="640" w:firstLineChars="200"/>
        <w:jc w:val="both"/>
        <w:textAlignment w:val="baseline"/>
        <w:rPr>
          <w:rFonts w:ascii="仿宋_GB2312" w:hAnsi="宋体" w:eastAsia="仿宋_GB2312" w:cs="仿宋_GB2312"/>
          <w:color w:val="auto"/>
          <w:sz w:val="32"/>
          <w:szCs w:val="32"/>
          <w:highlight w:val="yellow"/>
          <w:lang w:bidi="ar"/>
        </w:rPr>
      </w:pPr>
      <w:r>
        <w:rPr>
          <w:rFonts w:hint="eastAsia" w:ascii="仿宋_GB2312" w:hAnsi="宋体" w:eastAsia="仿宋_GB2312" w:cs="仿宋_GB2312"/>
          <w:color w:val="auto"/>
          <w:sz w:val="32"/>
          <w:szCs w:val="32"/>
          <w:lang w:bidi="ar"/>
        </w:rPr>
        <w:t>45</w:t>
      </w:r>
      <w:r>
        <w:rPr>
          <w:rFonts w:ascii="仿宋_GB2312" w:hAnsi="宋体" w:eastAsia="仿宋_GB2312" w:cs="仿宋_GB2312"/>
          <w:color w:val="auto"/>
          <w:sz w:val="32"/>
          <w:szCs w:val="32"/>
          <w:lang w:bidi="ar"/>
        </w:rPr>
        <w:t>．</w:t>
      </w:r>
      <w:r>
        <w:rPr>
          <w:rFonts w:hint="eastAsia" w:ascii="仿宋_GB2312" w:hAnsi="宋体" w:eastAsia="仿宋_GB2312" w:cs="仿宋_GB2312"/>
          <w:color w:val="auto"/>
          <w:sz w:val="32"/>
          <w:szCs w:val="32"/>
          <w:lang w:bidi="ar"/>
        </w:rPr>
        <w:t>政府投资项目建设单位应制定工程变更管理内控制度，对变更的条件及其必要性、可行性、工程量进行认真审核，工程变更必须严格履行“三重一大”决策。合同价款400万元以内的工程，变更后合同总价超400万元（含）的，</w:t>
      </w:r>
      <w:r>
        <w:rPr>
          <w:rFonts w:ascii="仿宋_GB2312" w:hAnsi="宋体" w:eastAsia="仿宋_GB2312" w:cs="仿宋_GB2312"/>
          <w:color w:val="auto"/>
          <w:sz w:val="32"/>
          <w:szCs w:val="32"/>
          <w:lang w:bidi="ar"/>
        </w:rPr>
        <w:t>建设单位</w:t>
      </w:r>
      <w:r>
        <w:rPr>
          <w:rFonts w:hint="eastAsia" w:ascii="仿宋_GB2312" w:hAnsi="宋体" w:eastAsia="仿宋_GB2312" w:cs="仿宋_GB2312"/>
          <w:color w:val="auto"/>
          <w:sz w:val="32"/>
          <w:szCs w:val="32"/>
          <w:lang w:bidi="ar"/>
        </w:rPr>
        <w:t>报区纪委</w:t>
      </w:r>
      <w:r>
        <w:rPr>
          <w:rFonts w:ascii="仿宋_GB2312" w:hAnsi="宋体" w:eastAsia="仿宋_GB2312" w:cs="仿宋_GB2312"/>
          <w:color w:val="auto"/>
          <w:sz w:val="32"/>
          <w:szCs w:val="32"/>
          <w:lang w:bidi="ar"/>
        </w:rPr>
        <w:t>区</w:t>
      </w:r>
      <w:r>
        <w:rPr>
          <w:rFonts w:hint="eastAsia" w:ascii="仿宋_GB2312" w:hAnsi="宋体" w:eastAsia="仿宋_GB2312" w:cs="仿宋_GB2312"/>
          <w:color w:val="auto"/>
          <w:sz w:val="32"/>
          <w:szCs w:val="32"/>
          <w:lang w:bidi="ar"/>
        </w:rPr>
        <w:t xml:space="preserve">监委备案。 </w:t>
      </w:r>
    </w:p>
    <w:p>
      <w:pPr>
        <w:keepNext w:val="0"/>
        <w:keepLines w:val="0"/>
        <w:pageBreakBefore w:val="0"/>
        <w:widowControl/>
        <w:numPr>
          <w:ilvl w:val="255"/>
          <w:numId w:val="0"/>
        </w:numPr>
        <w:kinsoku w:val="0"/>
        <w:wordWrap/>
        <w:overflowPunct/>
        <w:topLinePunct w:val="0"/>
        <w:autoSpaceDE/>
        <w:autoSpaceDN/>
        <w:bidi w:val="0"/>
        <w:adjustRightInd/>
        <w:snapToGrid/>
        <w:spacing w:line="580" w:lineRule="exact"/>
        <w:ind w:firstLine="640" w:firstLineChars="200"/>
        <w:jc w:val="both"/>
        <w:textAlignment w:val="baseline"/>
        <w:rPr>
          <w:color w:val="auto"/>
          <w:sz w:val="32"/>
          <w:szCs w:val="32"/>
        </w:rPr>
      </w:pPr>
      <w:r>
        <w:rPr>
          <w:rFonts w:hint="eastAsia" w:ascii="仿宋_GB2312" w:hAnsi="宋体" w:eastAsia="仿宋_GB2312" w:cs="仿宋_GB2312"/>
          <w:color w:val="auto"/>
          <w:sz w:val="32"/>
          <w:szCs w:val="32"/>
          <w:lang w:bidi="ar"/>
        </w:rPr>
        <w:t>46. 涉及政府投资项目工程较大变更的，按照以下流程进行审查审批：（1）建设单位需在委托第三方机构进行造价审定、技术分析后向行业主管部门提出申请；（2）行业主管部门可视情委托第三方机构进行造价审定、技术分析等，造价审定相关费用由财政予以保障；（3）行业主管部门根据相关行业规定开展技术审查，通过后出具工程变更批复文件或变更方案审查意见书（附件</w:t>
      </w:r>
      <w:r>
        <w:rPr>
          <w:rFonts w:hint="eastAsia" w:ascii="仿宋_GB2312" w:hAnsi="宋体" w:eastAsia="仿宋_GB2312" w:cs="仿宋_GB2312"/>
          <w:color w:val="auto"/>
          <w:sz w:val="32"/>
          <w:szCs w:val="32"/>
          <w:lang w:val="en-US" w:eastAsia="zh-CN" w:bidi="ar"/>
        </w:rPr>
        <w:t>3</w:t>
      </w:r>
      <w:r>
        <w:rPr>
          <w:rFonts w:hint="eastAsia" w:ascii="仿宋_GB2312" w:hAnsi="宋体" w:eastAsia="仿宋_GB2312" w:cs="仿宋_GB2312"/>
          <w:color w:val="auto"/>
          <w:sz w:val="32"/>
          <w:szCs w:val="32"/>
          <w:lang w:bidi="ar"/>
        </w:rPr>
        <w:t>）；</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val="en-US" w:eastAsia="zh-CN" w:bidi="ar"/>
        </w:rPr>
        <w:t>4</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建设单位需将变更结果报区发改局备案。</w:t>
      </w:r>
      <w:r>
        <w:rPr>
          <w:rFonts w:hint="eastAsia" w:ascii="仿宋_GB2312" w:hAnsi="宋体" w:eastAsia="仿宋_GB2312" w:cs="仿宋_GB2312"/>
          <w:color w:val="auto"/>
          <w:sz w:val="32"/>
          <w:szCs w:val="32"/>
          <w:lang w:bidi="ar"/>
        </w:rPr>
        <w:br w:type="textWrapping"/>
      </w:r>
      <w:r>
        <w:rPr>
          <w:rFonts w:hint="default" w:ascii="仿宋_GB2312" w:hAnsi="宋体" w:eastAsia="仿宋_GB2312" w:cs="仿宋_GB2312"/>
          <w:color w:val="auto"/>
          <w:sz w:val="32"/>
          <w:szCs w:val="32"/>
          <w:lang w:val="en-US" w:bidi="ar"/>
        </w:rPr>
        <w:t xml:space="preserve">    </w:t>
      </w:r>
      <w:r>
        <w:rPr>
          <w:rFonts w:hint="eastAsia" w:ascii="仿宋_GB2312" w:hAnsi="宋体" w:eastAsia="仿宋_GB2312" w:cs="仿宋_GB2312"/>
          <w:color w:val="auto"/>
          <w:sz w:val="32"/>
          <w:szCs w:val="32"/>
          <w:lang w:bidi="ar"/>
        </w:rPr>
        <w:t>47. 涉及政府投资项目工程重大变更的，按照以下流程进行审查审批：（1）建设单位向行业主管部门提出工程变更申请并提交相关材料，行业主管部门先行审查，出具工程变更批准文件或变更方案审查意见书；（2）建设单位向区发改局提出工程重大变更申请，同时将变更材料分送联席会议相关单位</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 xml:space="preserve">（3）区发改局组织重点建设联席会议，开展工程变更联合审查，必要时邀请专家与会；（4）联席会议小组审核同意后，由区发改局出具重点建设联席会议纪要；（5）建设单位及时将联席会议纪要上报区分管领导审定后组织实施；其中变更内容复杂，或工程单项变更造价超过2000万元（含）以上的需报区长办公会议审定。 </w:t>
      </w:r>
    </w:p>
    <w:p>
      <w:pPr>
        <w:keepNext w:val="0"/>
        <w:keepLines w:val="0"/>
        <w:pageBreakBefore w:val="0"/>
        <w:widowControl/>
        <w:numPr>
          <w:ilvl w:val="255"/>
          <w:numId w:val="0"/>
        </w:numPr>
        <w:kinsoku w:val="0"/>
        <w:wordWrap/>
        <w:overflowPunct/>
        <w:topLinePunct w:val="0"/>
        <w:autoSpaceDE/>
        <w:autoSpaceDN/>
        <w:bidi w:val="0"/>
        <w:adjustRightInd/>
        <w:snapToGrid/>
        <w:spacing w:line="580" w:lineRule="exact"/>
        <w:ind w:firstLine="640" w:firstLineChars="200"/>
        <w:jc w:val="both"/>
        <w:textAlignment w:val="baseline"/>
        <w:rPr>
          <w:color w:val="auto"/>
          <w:sz w:val="32"/>
          <w:szCs w:val="32"/>
        </w:rPr>
      </w:pPr>
      <w:r>
        <w:rPr>
          <w:rFonts w:hint="eastAsia" w:ascii="仿宋_GB2312" w:hAnsi="宋体" w:eastAsia="仿宋_GB2312" w:cs="仿宋_GB2312"/>
          <w:color w:val="auto"/>
          <w:sz w:val="32"/>
          <w:szCs w:val="32"/>
          <w:lang w:bidi="ar"/>
        </w:rPr>
        <w:t xml:space="preserve">48. 政府投资项目建设单位对所提供申报材料的真实性、合法性和完整性负责。工程变更申请文件包含但不仅限于以下内容：（1）《鹿城区政府投资项目工程变更申请表（登记表）》（附件 1）;（2）《鹿城区政府投资项目工程变更签证单》（附件 2）;（3）工程变更报告，明确项目基本信息、工程变更原由、变更内容及变更预算、变更事项研究论证程序等；（4）工程立项及初步设计批复文件、招标文件、施工合同；（5）工程变更图纸、联系单及原工程设计图纸；（6）行业专家论证意见；（7）工程变更批准文件或变更方案审查意见书；（8）工程变更预算第三方造价咨询单位审核报告；（9）建设单位集体研究会议纪要；（10）其他需提供的材料。 </w:t>
      </w:r>
    </w:p>
    <w:p>
      <w:pPr>
        <w:keepNext w:val="0"/>
        <w:keepLines w:val="0"/>
        <w:pageBreakBefore w:val="0"/>
        <w:widowControl/>
        <w:numPr>
          <w:ilvl w:val="255"/>
          <w:numId w:val="0"/>
        </w:numPr>
        <w:kinsoku w:val="0"/>
        <w:wordWrap/>
        <w:overflowPunct/>
        <w:topLinePunct w:val="0"/>
        <w:autoSpaceDE/>
        <w:autoSpaceDN/>
        <w:bidi w:val="0"/>
        <w:adjustRightInd/>
        <w:snapToGrid/>
        <w:spacing w:line="580" w:lineRule="exact"/>
        <w:ind w:firstLine="640" w:firstLineChars="200"/>
        <w:jc w:val="both"/>
        <w:textAlignment w:val="baseline"/>
        <w:rPr>
          <w:color w:val="auto"/>
          <w:sz w:val="32"/>
          <w:szCs w:val="32"/>
        </w:rPr>
      </w:pPr>
      <w:r>
        <w:rPr>
          <w:rFonts w:hint="eastAsia" w:ascii="仿宋_GB2312" w:hAnsi="宋体" w:eastAsia="仿宋_GB2312" w:cs="仿宋_GB2312"/>
          <w:color w:val="auto"/>
          <w:sz w:val="32"/>
          <w:szCs w:val="32"/>
          <w:lang w:bidi="ar"/>
        </w:rPr>
        <w:t xml:space="preserve">49. 政府投资项目施工过程中，遇暗河、暗沟、软基、围岩质地等地质实际情况与地质资料不符等急需处理的情况或需采用动态施工方式的工程，为保证工程建设进度、质量和安全，建设单位可根据情况召开由区发改局、区财政局、区住建局等相关专业部门参加的紧急会议，商定处理方案，形成书面意见后边实施边按规定报批。抢修抢险应急工程以及遇地震、台风等不可抗力原因的，建设单位在紧急处理后报批。 </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50. 由于勘察设计、施工、监理等参建单位的原因引起政府投资项目工程变更并造成损失的，参建单位应当承担相应的费用和相关责任，并根据合同扣除相应费用。各行业主管部门依法将参建单位行为纳入企业信用评价管理。</w:t>
      </w:r>
    </w:p>
    <w:p>
      <w:pPr>
        <w:keepNext w:val="0"/>
        <w:keepLines w:val="0"/>
        <w:pageBreakBefore w:val="0"/>
        <w:widowControl/>
        <w:kinsoku w:val="0"/>
        <w:wordWrap/>
        <w:overflowPunct/>
        <w:topLinePunct w:val="0"/>
        <w:autoSpaceDE/>
        <w:autoSpaceDN/>
        <w:bidi w:val="0"/>
        <w:adjustRightInd/>
        <w:snapToGrid/>
        <w:spacing w:line="580" w:lineRule="exact"/>
        <w:ind w:firstLine="640" w:firstLineChars="200"/>
        <w:jc w:val="both"/>
        <w:textAlignment w:val="baseline"/>
        <w:rPr>
          <w:color w:val="auto"/>
        </w:rPr>
      </w:pPr>
      <w:r>
        <w:rPr>
          <w:rFonts w:hint="eastAsia" w:ascii="仿宋_GB2312" w:hAnsi="宋体" w:eastAsia="仿宋_GB2312" w:cs="仿宋_GB2312"/>
          <w:color w:val="auto"/>
          <w:sz w:val="32"/>
          <w:szCs w:val="32"/>
          <w:lang w:bidi="ar"/>
        </w:rPr>
        <w:t>51. 严禁利用工程变更擅自提高设计标准、降低安全等级、延长工期、扩大规模。不得肢解工程变更规避审批，不得在工程变更中弄虚作假、降低质量标准或安全生产条件，不得谋取不正当利益或损害国家利益。由此造成的概算突破、工程延误和工程质量事故，要追究相关单位和责任人的相应责任。</w:t>
      </w:r>
    </w:p>
    <w:p>
      <w:pPr>
        <w:keepNext w:val="0"/>
        <w:keepLines w:val="0"/>
        <w:pageBreakBefore w:val="0"/>
        <w:widowControl/>
        <w:kinsoku w:val="0"/>
        <w:wordWrap/>
        <w:overflowPunct/>
        <w:topLinePunct w:val="0"/>
        <w:autoSpaceDE/>
        <w:autoSpaceDN/>
        <w:bidi w:val="0"/>
        <w:adjustRightInd/>
        <w:snapToGrid/>
        <w:spacing w:line="580" w:lineRule="exact"/>
        <w:ind w:firstLine="668" w:firstLineChars="200"/>
        <w:jc w:val="both"/>
        <w:textAlignment w:val="baseline"/>
        <w:rPr>
          <w:rFonts w:ascii="黑体" w:hAnsi="黑体" w:eastAsia="黑体" w:cs="黑体"/>
          <w:color w:val="auto"/>
          <w:sz w:val="32"/>
          <w:szCs w:val="32"/>
        </w:rPr>
      </w:pPr>
      <w:r>
        <w:rPr>
          <w:rFonts w:ascii="黑体" w:hAnsi="黑体" w:eastAsia="黑体" w:cs="黑体"/>
          <w:color w:val="auto"/>
          <w:spacing w:val="7"/>
          <w:sz w:val="32"/>
          <w:szCs w:val="32"/>
        </w:rPr>
        <w:t>十</w:t>
      </w:r>
      <w:r>
        <w:rPr>
          <w:rFonts w:ascii="黑体" w:hAnsi="黑体" w:eastAsia="黑体" w:cs="黑体"/>
          <w:color w:val="auto"/>
          <w:spacing w:val="5"/>
          <w:sz w:val="32"/>
          <w:szCs w:val="32"/>
        </w:rPr>
        <w:t>、附则</w:t>
      </w:r>
    </w:p>
    <w:p>
      <w:pPr>
        <w:keepNext w:val="0"/>
        <w:keepLines w:val="0"/>
        <w:pageBreakBefore w:val="0"/>
        <w:widowControl/>
        <w:kinsoku w:val="0"/>
        <w:wordWrap/>
        <w:overflowPunct/>
        <w:topLinePunct w:val="0"/>
        <w:autoSpaceDE/>
        <w:autoSpaceDN/>
        <w:bidi w:val="0"/>
        <w:adjustRightInd/>
        <w:snapToGrid/>
        <w:spacing w:line="580" w:lineRule="exact"/>
        <w:ind w:left="0" w:firstLine="708" w:firstLineChars="200"/>
        <w:jc w:val="both"/>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52．本实施细则自2023年</w:t>
      </w:r>
      <w:r>
        <w:rPr>
          <w:rFonts w:hint="default" w:ascii="仿宋_GB2312" w:hAnsi="仿宋_GB2312" w:eastAsia="仿宋_GB2312" w:cs="仿宋_GB2312"/>
          <w:color w:val="auto"/>
          <w:spacing w:val="17"/>
          <w:sz w:val="32"/>
          <w:szCs w:val="32"/>
          <w:lang w:val="en-US"/>
        </w:rPr>
        <w:t>10</w:t>
      </w:r>
      <w:r>
        <w:rPr>
          <w:rFonts w:hint="eastAsia" w:ascii="仿宋_GB2312" w:hAnsi="仿宋_GB2312" w:eastAsia="仿宋_GB2312" w:cs="仿宋_GB2312"/>
          <w:color w:val="auto"/>
          <w:spacing w:val="17"/>
          <w:sz w:val="32"/>
          <w:szCs w:val="32"/>
        </w:rPr>
        <w:t>月x日起施行，原《温州市鹿城区政府投资项目管理实施细则》</w:t>
      </w:r>
      <w:r>
        <w:rPr>
          <w:rFonts w:hint="eastAsia" w:ascii="仿宋_GB2312" w:hAnsi="仿宋_GB2312" w:eastAsia="仿宋_GB2312" w:cs="仿宋_GB2312"/>
          <w:color w:val="auto"/>
          <w:sz w:val="32"/>
          <w:szCs w:val="32"/>
          <w:lang w:bidi="ar"/>
        </w:rPr>
        <w:t>（温鹿政办〔2021〕41号）</w:t>
      </w:r>
      <w:r>
        <w:rPr>
          <w:rFonts w:hint="eastAsia" w:ascii="仿宋_GB2312" w:hAnsi="仿宋_GB2312" w:eastAsia="仿宋_GB2312" w:cs="仿宋_GB2312"/>
          <w:color w:val="auto"/>
          <w:spacing w:val="17"/>
          <w:sz w:val="32"/>
          <w:szCs w:val="32"/>
        </w:rPr>
        <w:t>停止执行。如遇法律、法规或上级有关政策调整变化的，从其规定。</w:t>
      </w:r>
    </w:p>
    <w:p>
      <w:pPr>
        <w:pStyle w:val="2"/>
        <w:keepNext w:val="0"/>
        <w:keepLines w:val="0"/>
        <w:pageBreakBefore w:val="0"/>
        <w:widowControl/>
        <w:kinsoku w:val="0"/>
        <w:wordWrap/>
        <w:overflowPunct/>
        <w:topLinePunct w:val="0"/>
        <w:bidi w:val="0"/>
        <w:spacing w:line="560" w:lineRule="exact"/>
        <w:textAlignment w:val="baseline"/>
        <w:rPr>
          <w:rFonts w:hint="eastAsia"/>
          <w:sz w:val="32"/>
          <w:szCs w:val="32"/>
        </w:rPr>
      </w:pPr>
    </w:p>
    <w:p>
      <w:pPr>
        <w:pStyle w:val="2"/>
        <w:keepNext w:val="0"/>
        <w:keepLines w:val="0"/>
        <w:pageBreakBefore w:val="0"/>
        <w:widowControl/>
        <w:kinsoku w:val="0"/>
        <w:wordWrap/>
        <w:overflowPunct/>
        <w:topLinePunct w:val="0"/>
        <w:bidi w:val="0"/>
        <w:adjustRightInd/>
        <w:snapToGrid/>
        <w:spacing w:after="0" w:line="580" w:lineRule="exact"/>
        <w:textAlignment w:val="baseline"/>
        <w:rPr>
          <w:rFonts w:hint="default" w:ascii="仿宋_GB2312" w:hAnsi="仿宋_GB2312" w:eastAsia="仿宋_GB2312" w:cs="仿宋_GB2312"/>
          <w:color w:val="auto"/>
          <w:spacing w:val="3"/>
          <w:sz w:val="32"/>
          <w:szCs w:val="32"/>
          <w:lang w:val="en-US"/>
        </w:rPr>
      </w:pPr>
      <w:r>
        <w:rPr>
          <w:rFonts w:hint="eastAsia" w:ascii="仿宋_GB2312" w:hAnsi="仿宋_GB2312" w:eastAsia="仿宋_GB2312" w:cs="仿宋_GB2312"/>
          <w:color w:val="auto"/>
          <w:spacing w:val="8"/>
          <w:sz w:val="32"/>
          <w:szCs w:val="32"/>
        </w:rPr>
        <w:t>附件：</w:t>
      </w:r>
      <w:r>
        <w:rPr>
          <w:rFonts w:hint="default" w:ascii="仿宋_GB2312" w:hAnsi="仿宋_GB2312" w:eastAsia="仿宋_GB2312" w:cs="仿宋_GB2312"/>
          <w:color w:val="auto"/>
          <w:spacing w:val="3"/>
          <w:sz w:val="32"/>
          <w:szCs w:val="32"/>
          <w:lang w:val="en-US"/>
        </w:rPr>
        <w:t>1.</w:t>
      </w:r>
      <w:r>
        <w:rPr>
          <w:rFonts w:hint="eastAsia" w:ascii="仿宋_GB2312" w:hAnsi="仿宋_GB2312" w:eastAsia="仿宋_GB2312" w:cs="仿宋_GB2312"/>
          <w:color w:val="auto"/>
          <w:spacing w:val="8"/>
          <w:sz w:val="32"/>
          <w:szCs w:val="32"/>
        </w:rPr>
        <w:t>鹿城区政府投资项目工程变更申请表(登记表</w:t>
      </w:r>
      <w:r>
        <w:rPr>
          <w:rFonts w:hint="eastAsia" w:ascii="仿宋_GB2312" w:hAnsi="仿宋_GB2312" w:eastAsia="仿宋_GB2312" w:cs="仿宋_GB2312"/>
          <w:color w:val="auto"/>
          <w:spacing w:val="3"/>
          <w:sz w:val="32"/>
          <w:szCs w:val="32"/>
        </w:rPr>
        <w:t>)</w:t>
      </w:r>
    </w:p>
    <w:p>
      <w:pPr>
        <w:keepNext w:val="0"/>
        <w:keepLines w:val="0"/>
        <w:pageBreakBefore w:val="0"/>
        <w:widowControl/>
        <w:numPr>
          <w:ilvl w:val="0"/>
          <w:numId w:val="0"/>
        </w:numPr>
        <w:kinsoku w:val="0"/>
        <w:wordWrap/>
        <w:overflowPunct/>
        <w:topLinePunct w:val="0"/>
        <w:autoSpaceDE/>
        <w:autoSpaceDN/>
        <w:bidi w:val="0"/>
        <w:adjustRightInd/>
        <w:snapToGrid/>
        <w:spacing w:line="580" w:lineRule="exact"/>
        <w:ind w:firstLine="1304" w:firstLineChars="400"/>
        <w:jc w:val="both"/>
        <w:textAlignment w:val="baseline"/>
        <w:rPr>
          <w:rFonts w:hint="default" w:ascii="仿宋_GB2312" w:hAnsi="仿宋_GB2312" w:eastAsia="仿宋_GB2312" w:cs="仿宋_GB2312"/>
          <w:color w:val="auto"/>
          <w:spacing w:val="3"/>
          <w:sz w:val="32"/>
          <w:szCs w:val="32"/>
          <w:lang w:val="en-US"/>
        </w:rPr>
      </w:pPr>
      <w:r>
        <w:rPr>
          <w:rFonts w:hint="default" w:ascii="仿宋_GB2312" w:hAnsi="仿宋_GB2312" w:eastAsia="仿宋_GB2312" w:cs="仿宋_GB2312"/>
          <w:color w:val="auto"/>
          <w:spacing w:val="3"/>
          <w:sz w:val="32"/>
          <w:szCs w:val="32"/>
          <w:lang w:val="en-US"/>
        </w:rPr>
        <w:t>2.</w:t>
      </w:r>
      <w:r>
        <w:rPr>
          <w:rFonts w:hint="eastAsia" w:ascii="仿宋_GB2312" w:hAnsi="仿宋_GB2312" w:eastAsia="仿宋_GB2312" w:cs="仿宋_GB2312"/>
          <w:color w:val="auto"/>
          <w:spacing w:val="8"/>
          <w:position w:val="2"/>
          <w:sz w:val="32"/>
          <w:szCs w:val="32"/>
        </w:rPr>
        <w:t>鹿城区政府投资项目工程变更签证单</w:t>
      </w:r>
    </w:p>
    <w:p>
      <w:pPr>
        <w:pStyle w:val="2"/>
        <w:keepNext w:val="0"/>
        <w:keepLines w:val="0"/>
        <w:pageBreakBefore w:val="0"/>
        <w:widowControl/>
        <w:kinsoku w:val="0"/>
        <w:wordWrap/>
        <w:overflowPunct/>
        <w:topLinePunct w:val="0"/>
        <w:bidi w:val="0"/>
        <w:adjustRightInd/>
        <w:snapToGrid/>
        <w:spacing w:after="0" w:line="580" w:lineRule="exact"/>
        <w:textAlignment w:val="baseline"/>
        <w:rPr>
          <w:rFonts w:hint="default" w:ascii="仿宋_GB2312" w:hAnsi="仿宋_GB2312" w:eastAsia="仿宋_GB2312" w:cs="仿宋_GB2312"/>
          <w:color w:val="auto"/>
          <w:spacing w:val="3"/>
          <w:sz w:val="32"/>
          <w:szCs w:val="32"/>
          <w:lang w:val="en-US"/>
        </w:rPr>
      </w:pPr>
      <w:r>
        <w:rPr>
          <w:rFonts w:hint="default" w:ascii="仿宋_GB2312" w:hAnsi="仿宋_GB2312" w:eastAsia="仿宋_GB2312" w:cs="仿宋_GB2312"/>
          <w:color w:val="auto"/>
          <w:spacing w:val="3"/>
          <w:sz w:val="32"/>
          <w:szCs w:val="32"/>
          <w:lang w:val="en-US"/>
        </w:rPr>
        <w:t xml:space="preserve">      3.</w:t>
      </w:r>
      <w:r>
        <w:rPr>
          <w:rFonts w:hint="eastAsia" w:ascii="仿宋_GB2312" w:hAnsi="仿宋_GB2312" w:eastAsia="仿宋_GB2312" w:cs="仿宋_GB2312"/>
          <w:color w:val="auto"/>
          <w:spacing w:val="8"/>
          <w:sz w:val="32"/>
          <w:szCs w:val="32"/>
        </w:rPr>
        <w:t>变更方案审查意见书</w:t>
      </w:r>
    </w:p>
    <w:p>
      <w:pPr>
        <w:pStyle w:val="2"/>
        <w:keepNext w:val="0"/>
        <w:keepLines w:val="0"/>
        <w:pageBreakBefore w:val="0"/>
        <w:widowControl/>
        <w:numPr>
          <w:ilvl w:val="-1"/>
          <w:numId w:val="0"/>
        </w:numPr>
        <w:kinsoku w:val="0"/>
        <w:wordWrap/>
        <w:overflowPunct/>
        <w:topLinePunct w:val="0"/>
        <w:autoSpaceDE/>
        <w:autoSpaceDN/>
        <w:bidi w:val="0"/>
        <w:adjustRightInd/>
        <w:snapToGrid/>
        <w:spacing w:after="0" w:line="580" w:lineRule="exact"/>
        <w:ind w:firstLine="1141" w:firstLineChars="350"/>
        <w:textAlignment w:val="baseline"/>
        <w:rPr>
          <w:rFonts w:hint="default" w:ascii="仿宋_GB2312" w:hAnsi="仿宋_GB2312" w:eastAsia="仿宋_GB2312" w:cs="仿宋_GB2312"/>
          <w:color w:val="auto"/>
          <w:sz w:val="32"/>
          <w:szCs w:val="32"/>
          <w:lang w:val="en-US"/>
        </w:rPr>
        <w:sectPr>
          <w:footerReference r:id="rId3" w:type="default"/>
          <w:pgSz w:w="11905" w:h="16839"/>
          <w:pgMar w:top="1984" w:right="1531" w:bottom="1984" w:left="1531" w:header="0" w:footer="1486" w:gutter="0"/>
          <w:cols w:space="720" w:num="1"/>
        </w:sectPr>
      </w:pPr>
      <w:r>
        <w:rPr>
          <w:rFonts w:hint="default" w:ascii="仿宋_GB2312" w:hAnsi="仿宋_GB2312" w:eastAsia="仿宋_GB2312" w:cs="仿宋_GB2312"/>
          <w:color w:val="auto"/>
          <w:spacing w:val="3"/>
          <w:sz w:val="32"/>
          <w:szCs w:val="32"/>
          <w:lang w:val="en-US"/>
        </w:rPr>
        <w:t xml:space="preserve"> 4.</w:t>
      </w:r>
      <w:r>
        <w:rPr>
          <w:rFonts w:hint="eastAsia" w:ascii="仿宋_GB2312" w:hAnsi="仿宋_GB2312" w:eastAsia="仿宋_GB2312" w:cs="仿宋_GB2312"/>
          <w:color w:val="auto"/>
          <w:spacing w:val="7"/>
          <w:sz w:val="32"/>
          <w:szCs w:val="32"/>
          <w:lang w:eastAsia="zh-CN"/>
        </w:rPr>
        <w:t>建设</w:t>
      </w:r>
      <w:r>
        <w:rPr>
          <w:rFonts w:hint="eastAsia" w:ascii="仿宋_GB2312" w:hAnsi="仿宋_GB2312" w:eastAsia="仿宋_GB2312" w:cs="仿宋_GB2312"/>
          <w:color w:val="auto"/>
          <w:spacing w:val="8"/>
          <w:position w:val="2"/>
          <w:sz w:val="32"/>
          <w:szCs w:val="32"/>
        </w:rPr>
        <w:t>项目行业主管部门对照</w:t>
      </w:r>
      <w:r>
        <w:rPr>
          <w:rFonts w:hint="eastAsia" w:ascii="仿宋_GB2312" w:hAnsi="仿宋_GB2312" w:eastAsia="仿宋_GB2312" w:cs="仿宋_GB2312"/>
          <w:color w:val="auto"/>
          <w:spacing w:val="5"/>
          <w:position w:val="2"/>
          <w:sz w:val="32"/>
          <w:szCs w:val="32"/>
        </w:rPr>
        <w:t>表</w:t>
      </w:r>
    </w:p>
    <w:p>
      <w:pPr>
        <w:spacing w:before="101" w:line="580" w:lineRule="exact"/>
        <w:rPr>
          <w:rFonts w:ascii="黑体" w:hAnsi="黑体" w:eastAsia="黑体" w:cs="黑体"/>
          <w:sz w:val="32"/>
          <w:szCs w:val="32"/>
        </w:rPr>
      </w:pPr>
      <w:r>
        <w:rPr>
          <w:rFonts w:hint="eastAsia" w:ascii="黑体" w:hAnsi="黑体" w:eastAsia="黑体" w:cs="黑体"/>
          <w:spacing w:val="-15"/>
          <w:sz w:val="32"/>
          <w:szCs w:val="32"/>
        </w:rPr>
        <w:t>附</w:t>
      </w:r>
      <w:r>
        <w:rPr>
          <w:rFonts w:hint="eastAsia" w:ascii="黑体" w:hAnsi="黑体" w:eastAsia="黑体" w:cs="黑体"/>
          <w:spacing w:val="-14"/>
          <w:sz w:val="32"/>
          <w:szCs w:val="32"/>
        </w:rPr>
        <w:t>件1</w:t>
      </w:r>
    </w:p>
    <w:p>
      <w:pPr>
        <w:spacing w:before="71" w:line="580" w:lineRule="exact"/>
        <w:jc w:val="center"/>
        <w:rPr>
          <w:rFonts w:ascii="小标宋" w:hAnsi="小标宋" w:eastAsia="小标宋" w:cs="小标宋"/>
          <w:sz w:val="44"/>
          <w:szCs w:val="44"/>
        </w:rPr>
      </w:pPr>
      <w:r>
        <w:rPr>
          <w:rFonts w:hint="eastAsia" w:ascii="小标宋" w:hAnsi="小标宋" w:eastAsia="小标宋" w:cs="小标宋"/>
          <w:spacing w:val="19"/>
          <w:sz w:val="44"/>
          <w:szCs w:val="44"/>
        </w:rPr>
        <w:t>鹿城区政府投资项目工程变更申请表(登记表</w:t>
      </w:r>
      <w:r>
        <w:rPr>
          <w:rFonts w:hint="eastAsia" w:ascii="小标宋" w:hAnsi="小标宋" w:eastAsia="小标宋" w:cs="小标宋"/>
          <w:spacing w:val="17"/>
          <w:sz w:val="44"/>
          <w:szCs w:val="44"/>
        </w:rPr>
        <w:t>)</w:t>
      </w:r>
    </w:p>
    <w:tbl>
      <w:tblPr>
        <w:tblStyle w:val="10"/>
        <w:tblW w:w="852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3144"/>
        <w:gridCol w:w="1144"/>
        <w:gridCol w:w="3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32" w:type="dxa"/>
            <w:vAlign w:val="center"/>
          </w:tcPr>
          <w:p>
            <w:pPr>
              <w:spacing w:before="193" w:line="580" w:lineRule="exact"/>
              <w:jc w:val="center"/>
              <w:rPr>
                <w:rFonts w:ascii="仿宋" w:hAnsi="仿宋" w:eastAsia="仿宋" w:cs="仿宋"/>
              </w:rPr>
            </w:pPr>
            <w:r>
              <w:rPr>
                <w:rFonts w:hint="eastAsia" w:ascii="仿宋" w:hAnsi="仿宋" w:eastAsia="仿宋" w:cs="仿宋"/>
                <w:spacing w:val="6"/>
              </w:rPr>
              <w:t>工程名称</w:t>
            </w:r>
          </w:p>
        </w:tc>
        <w:tc>
          <w:tcPr>
            <w:tcW w:w="3144" w:type="dxa"/>
            <w:vAlign w:val="center"/>
          </w:tcPr>
          <w:p>
            <w:pPr>
              <w:spacing w:line="580" w:lineRule="exact"/>
              <w:jc w:val="center"/>
              <w:rPr>
                <w:rFonts w:ascii="仿宋" w:hAnsi="仿宋" w:eastAsia="仿宋" w:cs="仿宋"/>
              </w:rPr>
            </w:pPr>
          </w:p>
        </w:tc>
        <w:tc>
          <w:tcPr>
            <w:tcW w:w="1144" w:type="dxa"/>
            <w:vAlign w:val="center"/>
          </w:tcPr>
          <w:p>
            <w:pPr>
              <w:spacing w:before="193" w:line="580" w:lineRule="exact"/>
              <w:jc w:val="center"/>
              <w:rPr>
                <w:rFonts w:ascii="仿宋" w:hAnsi="仿宋" w:eastAsia="仿宋" w:cs="仿宋"/>
              </w:rPr>
            </w:pPr>
            <w:r>
              <w:rPr>
                <w:rFonts w:hint="eastAsia" w:ascii="仿宋" w:hAnsi="仿宋" w:eastAsia="仿宋" w:cs="仿宋"/>
                <w:spacing w:val="8"/>
              </w:rPr>
              <w:t>建设单</w:t>
            </w:r>
            <w:r>
              <w:rPr>
                <w:rFonts w:hint="eastAsia" w:ascii="仿宋" w:hAnsi="仿宋" w:eastAsia="仿宋" w:cs="仿宋"/>
                <w:spacing w:val="7"/>
              </w:rPr>
              <w:t>位</w:t>
            </w:r>
          </w:p>
        </w:tc>
        <w:tc>
          <w:tcPr>
            <w:tcW w:w="3106" w:type="dxa"/>
          </w:tcPr>
          <w:p>
            <w:pPr>
              <w:spacing w:line="58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32" w:type="dxa"/>
            <w:vAlign w:val="center"/>
          </w:tcPr>
          <w:p>
            <w:pPr>
              <w:spacing w:before="189" w:line="580" w:lineRule="exact"/>
              <w:jc w:val="center"/>
              <w:rPr>
                <w:rFonts w:ascii="仿宋" w:hAnsi="仿宋" w:eastAsia="仿宋" w:cs="仿宋"/>
              </w:rPr>
            </w:pPr>
            <w:r>
              <w:rPr>
                <w:rFonts w:hint="eastAsia" w:ascii="仿宋" w:hAnsi="仿宋" w:eastAsia="仿宋" w:cs="仿宋"/>
                <w:spacing w:val="6"/>
              </w:rPr>
              <w:t>工程地点</w:t>
            </w:r>
          </w:p>
        </w:tc>
        <w:tc>
          <w:tcPr>
            <w:tcW w:w="3144" w:type="dxa"/>
            <w:vAlign w:val="center"/>
          </w:tcPr>
          <w:p>
            <w:pPr>
              <w:spacing w:line="580" w:lineRule="exact"/>
              <w:jc w:val="center"/>
              <w:rPr>
                <w:rFonts w:ascii="仿宋" w:hAnsi="仿宋" w:eastAsia="仿宋" w:cs="仿宋"/>
              </w:rPr>
            </w:pPr>
          </w:p>
        </w:tc>
        <w:tc>
          <w:tcPr>
            <w:tcW w:w="1144" w:type="dxa"/>
            <w:vAlign w:val="center"/>
          </w:tcPr>
          <w:p>
            <w:pPr>
              <w:spacing w:before="189" w:line="580" w:lineRule="exact"/>
              <w:ind w:left="112"/>
              <w:jc w:val="center"/>
              <w:rPr>
                <w:rFonts w:ascii="仿宋" w:hAnsi="仿宋" w:eastAsia="仿宋" w:cs="仿宋"/>
              </w:rPr>
            </w:pPr>
            <w:r>
              <w:rPr>
                <w:rFonts w:hint="eastAsia" w:ascii="仿宋" w:hAnsi="仿宋" w:eastAsia="仿宋" w:cs="仿宋"/>
                <w:spacing w:val="10"/>
              </w:rPr>
              <w:t>编</w:t>
            </w:r>
            <w:r>
              <w:rPr>
                <w:rFonts w:hint="eastAsia" w:ascii="仿宋" w:hAnsi="仿宋" w:eastAsia="仿宋" w:cs="仿宋"/>
                <w:spacing w:val="6"/>
              </w:rPr>
              <w:t>号</w:t>
            </w:r>
          </w:p>
        </w:tc>
        <w:tc>
          <w:tcPr>
            <w:tcW w:w="3106" w:type="dxa"/>
          </w:tcPr>
          <w:p>
            <w:pPr>
              <w:spacing w:line="58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526" w:type="dxa"/>
            <w:gridSpan w:val="4"/>
          </w:tcPr>
          <w:p>
            <w:pPr>
              <w:spacing w:before="190" w:line="580" w:lineRule="exact"/>
              <w:ind w:left="130"/>
              <w:rPr>
                <w:rFonts w:ascii="仿宋" w:hAnsi="仿宋" w:eastAsia="仿宋" w:cs="仿宋"/>
              </w:rPr>
            </w:pPr>
            <w:r>
              <w:rPr>
                <w:rFonts w:hint="eastAsia" w:ascii="仿宋" w:hAnsi="仿宋" w:eastAsia="仿宋" w:cs="仿宋"/>
                <w:spacing w:val="-3"/>
              </w:rPr>
              <w:t>变更事项：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8526" w:type="dxa"/>
            <w:gridSpan w:val="4"/>
          </w:tcPr>
          <w:p>
            <w:pPr>
              <w:spacing w:before="190" w:line="580" w:lineRule="exact"/>
              <w:ind w:left="130"/>
              <w:rPr>
                <w:rFonts w:ascii="仿宋" w:hAnsi="仿宋" w:eastAsia="仿宋" w:cs="仿宋"/>
                <w:spacing w:val="-3"/>
              </w:rPr>
            </w:pPr>
            <w:r>
              <w:rPr>
                <w:rFonts w:hint="eastAsia" w:ascii="仿宋" w:hAnsi="仿宋" w:eastAsia="仿宋" w:cs="仿宋"/>
                <w:spacing w:val="-3"/>
              </w:rPr>
              <w:t>变</w:t>
            </w:r>
            <w:r>
              <w:rPr>
                <w:rFonts w:hint="eastAsia" w:ascii="仿宋" w:hAnsi="仿宋" w:eastAsia="仿宋" w:cs="仿宋"/>
                <w:spacing w:val="-2"/>
              </w:rPr>
              <w:t>更原因、范围、内容：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8526" w:type="dxa"/>
            <w:gridSpan w:val="4"/>
          </w:tcPr>
          <w:p>
            <w:pPr>
              <w:spacing w:before="191" w:line="580" w:lineRule="exact"/>
              <w:ind w:left="115"/>
              <w:rPr>
                <w:rFonts w:ascii="仿宋" w:hAnsi="仿宋" w:eastAsia="仿宋" w:cs="仿宋"/>
              </w:rPr>
            </w:pPr>
            <w:r>
              <w:rPr>
                <w:rFonts w:hint="eastAsia" w:ascii="仿宋" w:hAnsi="仿宋" w:eastAsia="仿宋" w:cs="仿宋"/>
                <w:spacing w:val="16"/>
              </w:rPr>
              <w:t>建设单</w:t>
            </w:r>
            <w:r>
              <w:rPr>
                <w:rFonts w:hint="eastAsia" w:ascii="仿宋" w:hAnsi="仿宋" w:eastAsia="仿宋" w:cs="仿宋"/>
                <w:spacing w:val="9"/>
              </w:rPr>
              <w:t>位</w:t>
            </w:r>
            <w:r>
              <w:rPr>
                <w:rFonts w:hint="eastAsia" w:ascii="仿宋" w:hAnsi="仿宋" w:eastAsia="仿宋" w:cs="仿宋"/>
                <w:spacing w:val="8"/>
              </w:rPr>
              <w:t>自审意见(变更方案编制、专家论证、审价、集体研究情况等)：</w:t>
            </w:r>
          </w:p>
          <w:p>
            <w:pPr>
              <w:spacing w:line="580" w:lineRule="exact"/>
              <w:rPr>
                <w:rFonts w:ascii="仿宋" w:hAnsi="仿宋" w:eastAsia="仿宋" w:cs="仿宋"/>
              </w:rPr>
            </w:pPr>
          </w:p>
          <w:p>
            <w:pPr>
              <w:spacing w:line="580" w:lineRule="exact"/>
              <w:rPr>
                <w:rFonts w:ascii="仿宋" w:hAnsi="仿宋" w:eastAsia="仿宋" w:cs="仿宋"/>
              </w:rPr>
            </w:pPr>
          </w:p>
          <w:p>
            <w:pPr>
              <w:spacing w:before="65" w:line="580" w:lineRule="exact"/>
              <w:ind w:left="5477"/>
              <w:rPr>
                <w:rFonts w:ascii="仿宋" w:hAnsi="仿宋" w:eastAsia="仿宋" w:cs="仿宋"/>
              </w:rPr>
            </w:pPr>
            <w:r>
              <w:rPr>
                <w:rFonts w:hint="eastAsia" w:ascii="仿宋" w:hAnsi="仿宋" w:eastAsia="仿宋" w:cs="仿宋"/>
                <w:spacing w:val="4"/>
                <w:position w:val="19"/>
              </w:rPr>
              <w:t>签</w:t>
            </w:r>
            <w:r>
              <w:rPr>
                <w:rFonts w:hint="eastAsia" w:ascii="仿宋" w:hAnsi="仿宋" w:eastAsia="仿宋" w:cs="仿宋"/>
                <w:spacing w:val="3"/>
                <w:position w:val="19"/>
              </w:rPr>
              <w:t>字：</w:t>
            </w:r>
          </w:p>
          <w:p>
            <w:pPr>
              <w:spacing w:before="1" w:line="580" w:lineRule="exact"/>
              <w:ind w:left="5370"/>
              <w:rPr>
                <w:rFonts w:ascii="仿宋" w:hAnsi="仿宋" w:eastAsia="仿宋" w:cs="仿宋"/>
              </w:rPr>
            </w:pPr>
            <w:r>
              <w:rPr>
                <w:rFonts w:hint="eastAsia" w:ascii="仿宋" w:hAnsi="仿宋" w:eastAsia="仿宋" w:cs="仿宋"/>
                <w:spacing w:val="5"/>
              </w:rPr>
              <w:t>单位公章</w:t>
            </w:r>
            <w:r>
              <w:rPr>
                <w:rFonts w:hint="eastAsia" w:ascii="仿宋" w:hAnsi="仿宋" w:eastAsia="仿宋" w:cs="仿宋"/>
                <w:spacing w:val="4"/>
              </w:rPr>
              <w:t>：</w:t>
            </w:r>
          </w:p>
          <w:p>
            <w:pPr>
              <w:spacing w:before="216" w:line="580" w:lineRule="exact"/>
              <w:ind w:left="6628"/>
              <w:rPr>
                <w:rFonts w:ascii="仿宋" w:hAnsi="仿宋" w:eastAsia="仿宋" w:cs="仿宋"/>
              </w:rPr>
            </w:pPr>
            <w:r>
              <w:rPr>
                <w:rFonts w:hint="eastAsia" w:ascii="仿宋" w:hAnsi="仿宋" w:eastAsia="仿宋" w:cs="仿宋"/>
                <w:spacing w:val="10"/>
              </w:rPr>
              <w:t xml:space="preserve">年  </w:t>
            </w:r>
            <w:r>
              <w:rPr>
                <w:rFonts w:hint="eastAsia" w:ascii="仿宋" w:hAnsi="仿宋" w:eastAsia="仿宋" w:cs="仿宋"/>
                <w:spacing w:val="9"/>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526" w:type="dxa"/>
            <w:gridSpan w:val="4"/>
          </w:tcPr>
          <w:p>
            <w:pPr>
              <w:spacing w:before="193" w:line="580" w:lineRule="exact"/>
              <w:ind w:left="132"/>
              <w:rPr>
                <w:rFonts w:ascii="仿宋" w:hAnsi="仿宋" w:eastAsia="仿宋" w:cs="仿宋"/>
              </w:rPr>
            </w:pPr>
            <w:r>
              <w:rPr>
                <w:rFonts w:hint="eastAsia" w:ascii="仿宋" w:hAnsi="仿宋" w:eastAsia="仿宋" w:cs="仿宋"/>
                <w:spacing w:val="-2"/>
              </w:rPr>
              <w:t>附件：</w:t>
            </w:r>
            <w:r>
              <w:rPr>
                <w:rFonts w:hint="eastAsia" w:ascii="仿宋" w:hAnsi="仿宋" w:eastAsia="仿宋" w:cs="仿宋"/>
                <w:spacing w:val="8"/>
              </w:rPr>
              <w:t>工程变更签证</w:t>
            </w:r>
            <w:r>
              <w:rPr>
                <w:rFonts w:hint="eastAsia" w:ascii="仿宋" w:hAnsi="仿宋" w:eastAsia="仿宋" w:cs="仿宋"/>
                <w:spacing w:val="7"/>
              </w:rPr>
              <w:t>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8526" w:type="dxa"/>
            <w:gridSpan w:val="4"/>
          </w:tcPr>
          <w:p>
            <w:pPr>
              <w:spacing w:before="192" w:line="580" w:lineRule="exact"/>
              <w:ind w:left="125"/>
              <w:rPr>
                <w:rFonts w:ascii="仿宋" w:hAnsi="仿宋" w:eastAsia="仿宋" w:cs="仿宋"/>
              </w:rPr>
            </w:pPr>
            <w:r>
              <w:rPr>
                <w:rFonts w:hint="eastAsia" w:ascii="仿宋" w:hAnsi="仿宋" w:eastAsia="仿宋" w:cs="仿宋"/>
                <w:spacing w:val="11"/>
              </w:rPr>
              <w:t>预</w:t>
            </w:r>
            <w:r>
              <w:rPr>
                <w:rFonts w:hint="eastAsia" w:ascii="仿宋" w:hAnsi="仿宋" w:eastAsia="仿宋" w:cs="仿宋"/>
                <w:spacing w:val="6"/>
              </w:rPr>
              <w:t>计增(减)金额：            万元</w:t>
            </w:r>
          </w:p>
        </w:tc>
      </w:tr>
    </w:tbl>
    <w:p>
      <w:pPr>
        <w:pStyle w:val="2"/>
        <w:ind w:firstLine="160"/>
        <w:rPr>
          <w:rFonts w:ascii="微软雅黑" w:hAnsi="微软雅黑" w:eastAsia="微软雅黑" w:cs="微软雅黑"/>
          <w:sz w:val="18"/>
          <w:szCs w:val="18"/>
        </w:rPr>
        <w:sectPr>
          <w:footerReference r:id="rId4" w:type="default"/>
          <w:pgSz w:w="11905" w:h="16839"/>
          <w:pgMar w:top="1429" w:right="1291" w:bottom="1587" w:left="1543" w:header="0" w:footer="1491" w:gutter="0"/>
          <w:cols w:space="0" w:num="1"/>
          <w:rtlGutter w:val="0"/>
          <w:docGrid w:linePitch="0" w:charSpace="0"/>
        </w:sectPr>
      </w:pPr>
    </w:p>
    <w:p>
      <w:pPr>
        <w:spacing w:before="101" w:line="580" w:lineRule="exact"/>
        <w:rPr>
          <w:rFonts w:ascii="黑体" w:hAnsi="黑体" w:eastAsia="黑体" w:cs="黑体"/>
          <w:sz w:val="32"/>
          <w:szCs w:val="32"/>
        </w:rPr>
      </w:pPr>
      <w:r>
        <w:rPr>
          <w:rFonts w:hint="eastAsia" w:ascii="黑体" w:hAnsi="黑体" w:eastAsia="黑体" w:cs="黑体"/>
          <w:spacing w:val="-22"/>
          <w:sz w:val="32"/>
          <w:szCs w:val="32"/>
        </w:rPr>
        <w:t>附</w:t>
      </w:r>
      <w:r>
        <w:rPr>
          <w:rFonts w:hint="eastAsia" w:ascii="黑体" w:hAnsi="黑体" w:eastAsia="黑体" w:cs="黑体"/>
          <w:spacing w:val="-18"/>
          <w:sz w:val="32"/>
          <w:szCs w:val="32"/>
        </w:rPr>
        <w:t>件2</w:t>
      </w:r>
    </w:p>
    <w:p>
      <w:pPr>
        <w:spacing w:before="71" w:line="580" w:lineRule="exact"/>
        <w:ind w:left="881"/>
        <w:rPr>
          <w:rFonts w:ascii="小标宋" w:hAnsi="小标宋" w:eastAsia="小标宋" w:cs="小标宋"/>
          <w:sz w:val="44"/>
          <w:szCs w:val="44"/>
        </w:rPr>
      </w:pPr>
      <w:r>
        <w:rPr>
          <w:rFonts w:hint="eastAsia" w:ascii="小标宋" w:hAnsi="小标宋" w:eastAsia="小标宋" w:cs="小标宋"/>
          <w:spacing w:val="11"/>
          <w:sz w:val="44"/>
          <w:szCs w:val="44"/>
        </w:rPr>
        <w:t>鹿</w:t>
      </w:r>
      <w:r>
        <w:rPr>
          <w:rFonts w:hint="eastAsia" w:ascii="小标宋" w:hAnsi="小标宋" w:eastAsia="小标宋" w:cs="小标宋"/>
          <w:spacing w:val="9"/>
          <w:sz w:val="44"/>
          <w:szCs w:val="44"/>
        </w:rPr>
        <w:t>城区政府投资项目工程变更签证单</w:t>
      </w:r>
    </w:p>
    <w:tbl>
      <w:tblPr>
        <w:tblStyle w:val="10"/>
        <w:tblW w:w="8526"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
        <w:gridCol w:w="1467"/>
        <w:gridCol w:w="1608"/>
        <w:gridCol w:w="1101"/>
        <w:gridCol w:w="339"/>
        <w:gridCol w:w="2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64" w:type="dxa"/>
            <w:vAlign w:val="top"/>
          </w:tcPr>
          <w:p>
            <w:pPr>
              <w:spacing w:before="81" w:line="580" w:lineRule="exact"/>
              <w:jc w:val="center"/>
              <w:rPr>
                <w:rFonts w:hint="eastAsia" w:ascii="仿宋_GB2312" w:hAnsi="仿宋_GB2312" w:eastAsia="仿宋_GB2312" w:cs="仿宋_GB2312"/>
              </w:rPr>
            </w:pPr>
            <w:r>
              <w:rPr>
                <w:rFonts w:hint="eastAsia" w:ascii="仿宋_GB2312" w:hAnsi="仿宋_GB2312" w:eastAsia="仿宋_GB2312" w:cs="仿宋_GB2312"/>
                <w:spacing w:val="6"/>
              </w:rPr>
              <w:t>工程名称</w:t>
            </w:r>
          </w:p>
        </w:tc>
        <w:tc>
          <w:tcPr>
            <w:tcW w:w="3075" w:type="dxa"/>
            <w:gridSpan w:val="2"/>
            <w:vAlign w:val="top"/>
          </w:tcPr>
          <w:p>
            <w:pPr>
              <w:spacing w:line="580" w:lineRule="exact"/>
              <w:jc w:val="center"/>
              <w:rPr>
                <w:rFonts w:hint="eastAsia" w:ascii="仿宋_GB2312" w:hAnsi="仿宋_GB2312" w:eastAsia="仿宋_GB2312" w:cs="仿宋_GB2312"/>
              </w:rPr>
            </w:pPr>
          </w:p>
        </w:tc>
        <w:tc>
          <w:tcPr>
            <w:tcW w:w="1101" w:type="dxa"/>
            <w:vAlign w:val="top"/>
          </w:tcPr>
          <w:p>
            <w:pPr>
              <w:spacing w:before="81" w:line="580" w:lineRule="exact"/>
              <w:jc w:val="center"/>
              <w:rPr>
                <w:rFonts w:hint="eastAsia" w:ascii="仿宋_GB2312" w:hAnsi="仿宋_GB2312" w:eastAsia="仿宋_GB2312" w:cs="仿宋_GB2312"/>
              </w:rPr>
            </w:pPr>
            <w:r>
              <w:rPr>
                <w:rFonts w:hint="eastAsia" w:ascii="仿宋_GB2312" w:hAnsi="仿宋_GB2312" w:eastAsia="仿宋_GB2312" w:cs="仿宋_GB2312"/>
                <w:spacing w:val="8"/>
              </w:rPr>
              <w:t>建设单</w:t>
            </w:r>
            <w:r>
              <w:rPr>
                <w:rFonts w:hint="eastAsia" w:ascii="仿宋_GB2312" w:hAnsi="仿宋_GB2312" w:eastAsia="仿宋_GB2312" w:cs="仿宋_GB2312"/>
                <w:spacing w:val="7"/>
              </w:rPr>
              <w:t>位</w:t>
            </w:r>
          </w:p>
        </w:tc>
        <w:tc>
          <w:tcPr>
            <w:tcW w:w="3286" w:type="dxa"/>
            <w:gridSpan w:val="2"/>
            <w:vAlign w:val="top"/>
          </w:tcPr>
          <w:p>
            <w:pPr>
              <w:spacing w:line="580" w:lineRule="exact"/>
              <w:jc w:val="center"/>
              <w:rPr>
                <w:rFonts w:hint="eastAsia"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64" w:type="dxa"/>
            <w:vAlign w:val="top"/>
          </w:tcPr>
          <w:p>
            <w:pPr>
              <w:spacing w:before="78" w:line="580" w:lineRule="exact"/>
              <w:jc w:val="center"/>
              <w:rPr>
                <w:rFonts w:hint="eastAsia" w:ascii="仿宋_GB2312" w:hAnsi="仿宋_GB2312" w:eastAsia="仿宋_GB2312" w:cs="仿宋_GB2312"/>
              </w:rPr>
            </w:pPr>
            <w:r>
              <w:rPr>
                <w:rFonts w:hint="eastAsia" w:ascii="仿宋_GB2312" w:hAnsi="仿宋_GB2312" w:eastAsia="仿宋_GB2312" w:cs="仿宋_GB2312"/>
                <w:spacing w:val="6"/>
              </w:rPr>
              <w:t>工程地点</w:t>
            </w:r>
          </w:p>
        </w:tc>
        <w:tc>
          <w:tcPr>
            <w:tcW w:w="3075" w:type="dxa"/>
            <w:gridSpan w:val="2"/>
            <w:vAlign w:val="top"/>
          </w:tcPr>
          <w:p>
            <w:pPr>
              <w:spacing w:line="580" w:lineRule="exact"/>
              <w:jc w:val="center"/>
              <w:rPr>
                <w:rFonts w:hint="eastAsia" w:ascii="仿宋_GB2312" w:hAnsi="仿宋_GB2312" w:eastAsia="仿宋_GB2312" w:cs="仿宋_GB2312"/>
              </w:rPr>
            </w:pPr>
          </w:p>
        </w:tc>
        <w:tc>
          <w:tcPr>
            <w:tcW w:w="1101" w:type="dxa"/>
            <w:vAlign w:val="top"/>
          </w:tcPr>
          <w:p>
            <w:pPr>
              <w:spacing w:before="77" w:line="580" w:lineRule="exact"/>
              <w:jc w:val="center"/>
              <w:rPr>
                <w:rFonts w:hint="eastAsia" w:ascii="仿宋_GB2312" w:hAnsi="仿宋_GB2312" w:eastAsia="仿宋_GB2312" w:cs="仿宋_GB2312"/>
              </w:rPr>
            </w:pPr>
            <w:r>
              <w:rPr>
                <w:rFonts w:hint="eastAsia" w:ascii="仿宋_GB2312" w:hAnsi="仿宋_GB2312" w:eastAsia="仿宋_GB2312" w:cs="仿宋_GB2312"/>
                <w:spacing w:val="10"/>
              </w:rPr>
              <w:t>编</w:t>
            </w:r>
            <w:r>
              <w:rPr>
                <w:rFonts w:hint="eastAsia" w:ascii="仿宋_GB2312" w:hAnsi="仿宋_GB2312" w:eastAsia="仿宋_GB2312" w:cs="仿宋_GB2312"/>
                <w:spacing w:val="6"/>
              </w:rPr>
              <w:t>号</w:t>
            </w:r>
          </w:p>
        </w:tc>
        <w:tc>
          <w:tcPr>
            <w:tcW w:w="3286" w:type="dxa"/>
            <w:gridSpan w:val="2"/>
            <w:vAlign w:val="top"/>
          </w:tcPr>
          <w:p>
            <w:pPr>
              <w:spacing w:line="580" w:lineRule="exact"/>
              <w:jc w:val="center"/>
              <w:rPr>
                <w:rFonts w:hint="eastAsia"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26" w:type="dxa"/>
            <w:gridSpan w:val="6"/>
            <w:vAlign w:val="top"/>
          </w:tcPr>
          <w:p>
            <w:pPr>
              <w:spacing w:before="77" w:line="580" w:lineRule="exact"/>
              <w:ind w:firstLine="204" w:firstLineChars="100"/>
              <w:jc w:val="both"/>
              <w:rPr>
                <w:rFonts w:hint="eastAsia" w:ascii="仿宋_GB2312" w:hAnsi="仿宋_GB2312" w:eastAsia="仿宋_GB2312" w:cs="仿宋_GB2312"/>
              </w:rPr>
            </w:pPr>
            <w:r>
              <w:rPr>
                <w:rFonts w:hint="eastAsia" w:ascii="仿宋_GB2312" w:hAnsi="仿宋_GB2312" w:eastAsia="仿宋_GB2312" w:cs="仿宋_GB2312"/>
                <w:spacing w:val="-3"/>
              </w:rPr>
              <w:t>变更事项：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26" w:type="dxa"/>
            <w:gridSpan w:val="6"/>
            <w:vAlign w:val="top"/>
          </w:tcPr>
          <w:p>
            <w:pPr>
              <w:spacing w:before="77" w:line="580" w:lineRule="exact"/>
              <w:ind w:firstLine="204" w:firstLineChars="100"/>
              <w:jc w:val="both"/>
              <w:rPr>
                <w:rFonts w:hint="eastAsia" w:ascii="仿宋_GB2312" w:hAnsi="仿宋_GB2312" w:eastAsia="仿宋_GB2312" w:cs="仿宋_GB2312"/>
                <w:spacing w:val="-3"/>
              </w:rPr>
            </w:pPr>
            <w:r>
              <w:rPr>
                <w:rFonts w:hint="eastAsia" w:ascii="仿宋_GB2312" w:hAnsi="仿宋_GB2312" w:eastAsia="仿宋_GB2312" w:cs="仿宋_GB2312"/>
                <w:spacing w:val="-3"/>
              </w:rPr>
              <w:t>变</w:t>
            </w:r>
            <w:r>
              <w:rPr>
                <w:rFonts w:hint="eastAsia" w:ascii="仿宋_GB2312" w:hAnsi="仿宋_GB2312" w:eastAsia="仿宋_GB2312" w:cs="仿宋_GB2312"/>
                <w:spacing w:val="-2"/>
              </w:rPr>
              <w:t>更原因、范围、内容：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526" w:type="dxa"/>
            <w:gridSpan w:val="6"/>
            <w:vAlign w:val="top"/>
          </w:tcPr>
          <w:p>
            <w:pPr>
              <w:spacing w:before="78" w:line="580" w:lineRule="exact"/>
              <w:ind w:left="132"/>
              <w:jc w:val="both"/>
              <w:rPr>
                <w:rFonts w:hint="eastAsia" w:ascii="仿宋_GB2312" w:hAnsi="仿宋_GB2312" w:eastAsia="仿宋_GB2312" w:cs="仿宋_GB2312"/>
              </w:rPr>
            </w:pPr>
            <w:r>
              <w:rPr>
                <w:rFonts w:hint="eastAsia" w:ascii="仿宋_GB2312" w:hAnsi="仿宋_GB2312" w:eastAsia="仿宋_GB2312" w:cs="仿宋_GB2312"/>
                <w:spacing w:val="-2"/>
              </w:rPr>
              <w:t>附件：</w:t>
            </w:r>
            <w:r>
              <w:rPr>
                <w:rFonts w:hint="eastAsia" w:ascii="仿宋_GB2312" w:hAnsi="仿宋_GB2312" w:eastAsia="仿宋_GB2312" w:cs="仿宋_GB2312"/>
                <w:spacing w:val="7"/>
              </w:rPr>
              <w:t>设计图纸、工程技术联系单、建筑材料(设备)选定表、概预算书、招投标资料、合同</w:t>
            </w:r>
            <w:r>
              <w:rPr>
                <w:rFonts w:hint="eastAsia" w:ascii="仿宋_GB2312" w:hAnsi="仿宋_GB2312" w:eastAsia="仿宋_GB2312" w:cs="仿宋_GB2312"/>
                <w:spacing w:val="4"/>
              </w:rPr>
              <w:t>协议、工程</w:t>
            </w:r>
            <w:r>
              <w:rPr>
                <w:rFonts w:hint="eastAsia" w:ascii="仿宋_GB2312" w:hAnsi="仿宋_GB2312" w:eastAsia="仿宋_GB2312" w:cs="仿宋_GB2312"/>
                <w:spacing w:val="3"/>
              </w:rPr>
              <w:t>量</w:t>
            </w:r>
            <w:r>
              <w:rPr>
                <w:rFonts w:hint="eastAsia" w:ascii="仿宋_GB2312" w:hAnsi="仿宋_GB2312" w:eastAsia="仿宋_GB2312" w:cs="仿宋_GB2312"/>
                <w:spacing w:val="2"/>
              </w:rPr>
              <w:t>计算书、明细组价单等。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531" w:type="dxa"/>
            <w:gridSpan w:val="2"/>
          </w:tcPr>
          <w:p>
            <w:pPr>
              <w:spacing w:before="79" w:line="580" w:lineRule="exact"/>
              <w:jc w:val="center"/>
              <w:rPr>
                <w:rFonts w:hint="eastAsia" w:ascii="仿宋_GB2312" w:hAnsi="仿宋_GB2312" w:eastAsia="仿宋_GB2312" w:cs="仿宋_GB2312"/>
              </w:rPr>
            </w:pPr>
            <w:r>
              <w:rPr>
                <w:rFonts w:hint="eastAsia" w:ascii="仿宋_GB2312" w:hAnsi="仿宋_GB2312" w:eastAsia="仿宋_GB2312" w:cs="仿宋_GB2312"/>
                <w:spacing w:val="7"/>
              </w:rPr>
              <w:t>预</w:t>
            </w:r>
            <w:r>
              <w:rPr>
                <w:rFonts w:hint="eastAsia" w:ascii="仿宋_GB2312" w:hAnsi="仿宋_GB2312" w:eastAsia="仿宋_GB2312" w:cs="仿宋_GB2312"/>
                <w:spacing w:val="6"/>
              </w:rPr>
              <w:t>计增(减)金额</w:t>
            </w:r>
          </w:p>
        </w:tc>
        <w:tc>
          <w:tcPr>
            <w:tcW w:w="5995" w:type="dxa"/>
            <w:gridSpan w:val="4"/>
          </w:tcPr>
          <w:p>
            <w:pPr>
              <w:spacing w:before="79" w:line="580" w:lineRule="exact"/>
              <w:ind w:left="4740"/>
              <w:rPr>
                <w:rFonts w:hint="eastAsia" w:ascii="仿宋_GB2312" w:hAnsi="仿宋_GB2312" w:eastAsia="仿宋_GB2312" w:cs="仿宋_GB2312"/>
              </w:rPr>
            </w:pPr>
            <w:r>
              <w:rPr>
                <w:rFonts w:hint="eastAsia" w:ascii="仿宋_GB2312" w:hAnsi="仿宋_GB2312" w:eastAsia="仿宋_GB2312" w:cs="仿宋_GB231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2531" w:type="dxa"/>
            <w:gridSpan w:val="2"/>
          </w:tcPr>
          <w:p>
            <w:pPr>
              <w:spacing w:before="80" w:line="580" w:lineRule="exact"/>
              <w:ind w:left="117"/>
              <w:rPr>
                <w:rFonts w:hint="eastAsia" w:ascii="仿宋_GB2312" w:hAnsi="仿宋_GB2312" w:eastAsia="仿宋_GB2312" w:cs="仿宋_GB2312"/>
              </w:rPr>
            </w:pPr>
            <w:r>
              <w:rPr>
                <w:rFonts w:hint="eastAsia" w:ascii="仿宋_GB2312" w:hAnsi="仿宋_GB2312" w:eastAsia="仿宋_GB2312" w:cs="仿宋_GB2312"/>
                <w:spacing w:val="8"/>
              </w:rPr>
              <w:t>施工单位意见：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21"/>
              <w:rPr>
                <w:rFonts w:hint="eastAsia" w:ascii="仿宋_GB2312" w:hAnsi="仿宋_GB2312" w:eastAsia="仿宋_GB2312" w:cs="仿宋_GB2312"/>
              </w:rPr>
            </w:pPr>
            <w:r>
              <w:rPr>
                <w:rFonts w:hint="eastAsia" w:ascii="仿宋_GB2312" w:hAnsi="仿宋_GB2312" w:eastAsia="仿宋_GB2312" w:cs="仿宋_GB2312"/>
                <w:spacing w:val="4"/>
                <w:position w:val="8"/>
              </w:rPr>
              <w:t>经办人</w:t>
            </w:r>
            <w:r>
              <w:rPr>
                <w:rFonts w:hint="eastAsia" w:ascii="仿宋_GB2312" w:hAnsi="仿宋_GB2312" w:eastAsia="仿宋_GB2312" w:cs="仿宋_GB2312"/>
                <w:spacing w:val="3"/>
                <w:position w:val="8"/>
              </w:rPr>
              <w:t>：</w:t>
            </w:r>
          </w:p>
          <w:p>
            <w:pPr>
              <w:spacing w:line="580" w:lineRule="exact"/>
              <w:ind w:left="119"/>
              <w:rPr>
                <w:rFonts w:hint="eastAsia" w:ascii="仿宋_GB2312" w:hAnsi="仿宋_GB2312" w:eastAsia="仿宋_GB2312" w:cs="仿宋_GB2312"/>
              </w:rPr>
            </w:pPr>
            <w:r>
              <w:rPr>
                <w:rFonts w:hint="eastAsia" w:ascii="仿宋_GB2312" w:hAnsi="仿宋_GB2312" w:eastAsia="仿宋_GB2312" w:cs="仿宋_GB2312"/>
                <w:spacing w:val="7"/>
              </w:rPr>
              <w:t>项</w:t>
            </w:r>
            <w:r>
              <w:rPr>
                <w:rFonts w:hint="eastAsia" w:ascii="仿宋_GB2312" w:hAnsi="仿宋_GB2312" w:eastAsia="仿宋_GB2312" w:cs="仿宋_GB2312"/>
                <w:spacing w:val="5"/>
              </w:rPr>
              <w:t>目经理：</w:t>
            </w:r>
          </w:p>
          <w:p>
            <w:pPr>
              <w:spacing w:before="73" w:line="580" w:lineRule="exact"/>
              <w:ind w:left="121"/>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79" w:line="580" w:lineRule="exact"/>
              <w:ind w:left="1062"/>
              <w:rPr>
                <w:rFonts w:hint="eastAsia" w:ascii="仿宋_GB2312" w:hAnsi="仿宋_GB2312" w:eastAsia="仿宋_GB2312" w:cs="仿宋_GB2312"/>
              </w:rPr>
            </w:pPr>
            <w:r>
              <w:rPr>
                <w:rFonts w:hint="eastAsia" w:ascii="仿宋_GB2312" w:hAnsi="仿宋_GB2312" w:eastAsia="仿宋_GB2312" w:cs="仿宋_GB2312"/>
                <w:spacing w:val="16"/>
              </w:rPr>
              <w:t xml:space="preserve">年  </w:t>
            </w:r>
            <w:r>
              <w:rPr>
                <w:rFonts w:hint="eastAsia" w:ascii="仿宋_GB2312" w:hAnsi="仿宋_GB2312" w:eastAsia="仿宋_GB2312" w:cs="仿宋_GB2312"/>
                <w:spacing w:val="9"/>
              </w:rPr>
              <w:t>月  日</w:t>
            </w:r>
          </w:p>
        </w:tc>
        <w:tc>
          <w:tcPr>
            <w:tcW w:w="3048" w:type="dxa"/>
            <w:gridSpan w:val="3"/>
          </w:tcPr>
          <w:p>
            <w:pPr>
              <w:spacing w:before="80" w:line="580" w:lineRule="exact"/>
              <w:ind w:left="113"/>
              <w:rPr>
                <w:rFonts w:hint="eastAsia" w:ascii="仿宋_GB2312" w:hAnsi="仿宋_GB2312" w:eastAsia="仿宋_GB2312" w:cs="仿宋_GB2312"/>
              </w:rPr>
            </w:pPr>
            <w:r>
              <w:rPr>
                <w:rFonts w:hint="eastAsia" w:ascii="仿宋_GB2312" w:hAnsi="仿宋_GB2312" w:eastAsia="仿宋_GB2312" w:cs="仿宋_GB2312"/>
                <w:spacing w:val="7"/>
              </w:rPr>
              <w:t>设计单位意见：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13"/>
              <w:rPr>
                <w:rFonts w:hint="eastAsia" w:ascii="仿宋_GB2312" w:hAnsi="仿宋_GB2312" w:eastAsia="仿宋_GB2312" w:cs="仿宋_GB2312"/>
              </w:rPr>
            </w:pPr>
            <w:r>
              <w:rPr>
                <w:rFonts w:hint="eastAsia" w:ascii="仿宋_GB2312" w:hAnsi="仿宋_GB2312" w:eastAsia="仿宋_GB2312" w:cs="仿宋_GB2312"/>
                <w:spacing w:val="5"/>
                <w:position w:val="8"/>
              </w:rPr>
              <w:t>设计人：</w:t>
            </w:r>
          </w:p>
          <w:p>
            <w:pPr>
              <w:spacing w:line="580" w:lineRule="exact"/>
              <w:ind w:left="122"/>
              <w:rPr>
                <w:rFonts w:hint="eastAsia" w:ascii="仿宋_GB2312" w:hAnsi="仿宋_GB2312" w:eastAsia="仿宋_GB2312" w:cs="仿宋_GB2312"/>
              </w:rPr>
            </w:pPr>
            <w:r>
              <w:rPr>
                <w:rFonts w:hint="eastAsia" w:ascii="仿宋_GB2312" w:hAnsi="仿宋_GB2312" w:eastAsia="仿宋_GB2312" w:cs="仿宋_GB2312"/>
                <w:spacing w:val="4"/>
              </w:rPr>
              <w:t>复</w:t>
            </w:r>
            <w:r>
              <w:rPr>
                <w:rFonts w:hint="eastAsia" w:ascii="仿宋_GB2312" w:hAnsi="仿宋_GB2312" w:eastAsia="仿宋_GB2312" w:cs="仿宋_GB2312"/>
                <w:spacing w:val="3"/>
              </w:rPr>
              <w:t>核</w:t>
            </w:r>
            <w:r>
              <w:rPr>
                <w:rFonts w:hint="eastAsia" w:ascii="仿宋_GB2312" w:hAnsi="仿宋_GB2312" w:eastAsia="仿宋_GB2312" w:cs="仿宋_GB2312"/>
                <w:spacing w:val="2"/>
              </w:rPr>
              <w:t>人：</w:t>
            </w:r>
          </w:p>
          <w:p>
            <w:pPr>
              <w:spacing w:before="74" w:line="580" w:lineRule="exact"/>
              <w:ind w:left="118"/>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79" w:line="580" w:lineRule="exact"/>
              <w:ind w:left="1584"/>
              <w:rPr>
                <w:rFonts w:hint="eastAsia" w:ascii="仿宋_GB2312" w:hAnsi="仿宋_GB2312" w:eastAsia="仿宋_GB2312" w:cs="仿宋_GB2312"/>
              </w:rPr>
            </w:pPr>
            <w:r>
              <w:rPr>
                <w:rFonts w:hint="eastAsia" w:ascii="仿宋_GB2312" w:hAnsi="仿宋_GB2312" w:eastAsia="仿宋_GB2312" w:cs="仿宋_GB2312"/>
                <w:spacing w:val="15"/>
              </w:rPr>
              <w:t xml:space="preserve">年  </w:t>
            </w:r>
            <w:r>
              <w:rPr>
                <w:rFonts w:hint="eastAsia" w:ascii="仿宋_GB2312" w:hAnsi="仿宋_GB2312" w:eastAsia="仿宋_GB2312" w:cs="仿宋_GB2312"/>
                <w:spacing w:val="9"/>
              </w:rPr>
              <w:t>月  日</w:t>
            </w:r>
          </w:p>
        </w:tc>
        <w:tc>
          <w:tcPr>
            <w:tcW w:w="2947" w:type="dxa"/>
          </w:tcPr>
          <w:p>
            <w:pPr>
              <w:spacing w:before="80" w:line="580" w:lineRule="exact"/>
              <w:ind w:left="122"/>
              <w:rPr>
                <w:rFonts w:hint="eastAsia" w:ascii="仿宋_GB2312" w:hAnsi="仿宋_GB2312" w:eastAsia="仿宋_GB2312" w:cs="仿宋_GB2312"/>
              </w:rPr>
            </w:pPr>
            <w:r>
              <w:rPr>
                <w:rFonts w:hint="eastAsia" w:ascii="仿宋_GB2312" w:hAnsi="仿宋_GB2312" w:eastAsia="仿宋_GB2312" w:cs="仿宋_GB2312"/>
                <w:spacing w:val="7"/>
              </w:rPr>
              <w:t>监</w:t>
            </w:r>
            <w:r>
              <w:rPr>
                <w:rFonts w:hint="eastAsia" w:ascii="仿宋_GB2312" w:hAnsi="仿宋_GB2312" w:eastAsia="仿宋_GB2312" w:cs="仿宋_GB2312"/>
                <w:spacing w:val="6"/>
              </w:rPr>
              <w:t>理单位意见：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22"/>
              <w:rPr>
                <w:rFonts w:hint="eastAsia" w:ascii="仿宋_GB2312" w:hAnsi="仿宋_GB2312" w:eastAsia="仿宋_GB2312" w:cs="仿宋_GB2312"/>
              </w:rPr>
            </w:pPr>
            <w:r>
              <w:rPr>
                <w:rFonts w:hint="eastAsia" w:ascii="仿宋_GB2312" w:hAnsi="仿宋_GB2312" w:eastAsia="仿宋_GB2312" w:cs="仿宋_GB2312"/>
                <w:spacing w:val="5"/>
                <w:position w:val="8"/>
              </w:rPr>
              <w:t>监</w:t>
            </w:r>
            <w:r>
              <w:rPr>
                <w:rFonts w:hint="eastAsia" w:ascii="仿宋_GB2312" w:hAnsi="仿宋_GB2312" w:eastAsia="仿宋_GB2312" w:cs="仿宋_GB2312"/>
                <w:spacing w:val="3"/>
                <w:position w:val="8"/>
              </w:rPr>
              <w:t>理员：</w:t>
            </w:r>
          </w:p>
          <w:p>
            <w:pPr>
              <w:spacing w:line="580" w:lineRule="exact"/>
              <w:ind w:left="129"/>
              <w:rPr>
                <w:rFonts w:hint="eastAsia" w:ascii="仿宋_GB2312" w:hAnsi="仿宋_GB2312" w:eastAsia="仿宋_GB2312" w:cs="仿宋_GB2312"/>
              </w:rPr>
            </w:pPr>
            <w:r>
              <w:rPr>
                <w:rFonts w:hint="eastAsia" w:ascii="仿宋_GB2312" w:hAnsi="仿宋_GB2312" w:eastAsia="仿宋_GB2312" w:cs="仿宋_GB2312"/>
                <w:spacing w:val="2"/>
              </w:rPr>
              <w:t>总</w:t>
            </w:r>
            <w:r>
              <w:rPr>
                <w:rFonts w:hint="eastAsia" w:ascii="仿宋_GB2312" w:hAnsi="仿宋_GB2312" w:eastAsia="仿宋_GB2312" w:cs="仿宋_GB2312"/>
                <w:spacing w:val="1"/>
              </w:rPr>
              <w:t>监：</w:t>
            </w:r>
          </w:p>
          <w:p>
            <w:pPr>
              <w:spacing w:before="71" w:line="580" w:lineRule="exact"/>
              <w:ind w:left="120"/>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79" w:line="580" w:lineRule="exact"/>
              <w:ind w:left="1481"/>
              <w:rPr>
                <w:rFonts w:hint="eastAsia" w:ascii="仿宋_GB2312" w:hAnsi="仿宋_GB2312" w:eastAsia="仿宋_GB2312" w:cs="仿宋_GB2312"/>
              </w:rPr>
            </w:pPr>
            <w:r>
              <w:rPr>
                <w:rFonts w:hint="eastAsia" w:ascii="仿宋_GB2312" w:hAnsi="仿宋_GB2312" w:eastAsia="仿宋_GB2312" w:cs="仿宋_GB2312"/>
                <w:spacing w:val="15"/>
              </w:rPr>
              <w:t xml:space="preserve">年  </w:t>
            </w:r>
            <w:r>
              <w:rPr>
                <w:rFonts w:hint="eastAsia" w:ascii="仿宋_GB2312" w:hAnsi="仿宋_GB2312" w:eastAsia="仿宋_GB2312" w:cs="仿宋_GB2312"/>
                <w:spacing w:val="9"/>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9" w:hRule="atLeast"/>
        </w:trPr>
        <w:tc>
          <w:tcPr>
            <w:tcW w:w="2531" w:type="dxa"/>
            <w:gridSpan w:val="2"/>
          </w:tcPr>
          <w:p>
            <w:pPr>
              <w:spacing w:before="80" w:line="580" w:lineRule="exact"/>
              <w:ind w:left="115"/>
              <w:rPr>
                <w:rFonts w:hint="eastAsia" w:ascii="仿宋_GB2312" w:hAnsi="仿宋_GB2312" w:eastAsia="仿宋_GB2312" w:cs="仿宋_GB2312"/>
              </w:rPr>
            </w:pPr>
            <w:r>
              <w:rPr>
                <w:rFonts w:hint="eastAsia" w:ascii="仿宋_GB2312" w:hAnsi="仿宋_GB2312" w:eastAsia="仿宋_GB2312" w:cs="仿宋_GB2312"/>
                <w:spacing w:val="9"/>
              </w:rPr>
              <w:t>代</w:t>
            </w:r>
            <w:r>
              <w:rPr>
                <w:rFonts w:hint="eastAsia" w:ascii="仿宋_GB2312" w:hAnsi="仿宋_GB2312" w:eastAsia="仿宋_GB2312" w:cs="仿宋_GB2312"/>
                <w:spacing w:val="7"/>
              </w:rPr>
              <w:t>建单位意见：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21"/>
              <w:rPr>
                <w:rFonts w:hint="eastAsia" w:ascii="仿宋_GB2312" w:hAnsi="仿宋_GB2312" w:eastAsia="仿宋_GB2312" w:cs="仿宋_GB2312"/>
              </w:rPr>
            </w:pPr>
            <w:r>
              <w:rPr>
                <w:rFonts w:hint="eastAsia" w:ascii="仿宋_GB2312" w:hAnsi="仿宋_GB2312" w:eastAsia="仿宋_GB2312" w:cs="仿宋_GB2312"/>
                <w:spacing w:val="4"/>
              </w:rPr>
              <w:t>经办人</w:t>
            </w:r>
            <w:r>
              <w:rPr>
                <w:rFonts w:hint="eastAsia" w:ascii="仿宋_GB2312" w:hAnsi="仿宋_GB2312" w:eastAsia="仿宋_GB2312" w:cs="仿宋_GB2312"/>
                <w:spacing w:val="3"/>
              </w:rPr>
              <w:t>：</w:t>
            </w:r>
          </w:p>
          <w:p>
            <w:pPr>
              <w:spacing w:before="72" w:line="580" w:lineRule="exact"/>
              <w:ind w:left="119"/>
              <w:rPr>
                <w:rFonts w:hint="eastAsia" w:ascii="仿宋_GB2312" w:hAnsi="仿宋_GB2312" w:eastAsia="仿宋_GB2312" w:cs="仿宋_GB2312"/>
              </w:rPr>
            </w:pPr>
            <w:r>
              <w:rPr>
                <w:rFonts w:hint="eastAsia" w:ascii="仿宋_GB2312" w:hAnsi="仿宋_GB2312" w:eastAsia="仿宋_GB2312" w:cs="仿宋_GB2312"/>
                <w:spacing w:val="8"/>
                <w:position w:val="8"/>
              </w:rPr>
              <w:t>项</w:t>
            </w:r>
            <w:r>
              <w:rPr>
                <w:rFonts w:hint="eastAsia" w:ascii="仿宋_GB2312" w:hAnsi="仿宋_GB2312" w:eastAsia="仿宋_GB2312" w:cs="仿宋_GB2312"/>
                <w:spacing w:val="6"/>
                <w:position w:val="8"/>
              </w:rPr>
              <w:t>目负责人：</w:t>
            </w:r>
          </w:p>
          <w:p>
            <w:pPr>
              <w:spacing w:before="1" w:line="580" w:lineRule="exact"/>
              <w:ind w:left="121"/>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79" w:line="580" w:lineRule="exact"/>
              <w:ind w:left="748" w:firstLine="464" w:firstLineChars="200"/>
              <w:rPr>
                <w:rFonts w:hint="eastAsia" w:ascii="仿宋_GB2312" w:hAnsi="仿宋_GB2312" w:eastAsia="仿宋_GB2312" w:cs="仿宋_GB2312"/>
              </w:rPr>
            </w:pPr>
            <w:r>
              <w:rPr>
                <w:rFonts w:hint="eastAsia" w:ascii="仿宋_GB2312" w:hAnsi="仿宋_GB2312" w:eastAsia="仿宋_GB2312" w:cs="仿宋_GB2312"/>
                <w:spacing w:val="11"/>
              </w:rPr>
              <w:t xml:space="preserve">年  月  </w:t>
            </w:r>
            <w:r>
              <w:rPr>
                <w:rFonts w:hint="eastAsia" w:ascii="仿宋_GB2312" w:hAnsi="仿宋_GB2312" w:eastAsia="仿宋_GB2312" w:cs="仿宋_GB2312"/>
                <w:spacing w:val="10"/>
              </w:rPr>
              <w:t>日</w:t>
            </w:r>
          </w:p>
        </w:tc>
        <w:tc>
          <w:tcPr>
            <w:tcW w:w="3048" w:type="dxa"/>
            <w:gridSpan w:val="3"/>
          </w:tcPr>
          <w:p>
            <w:pPr>
              <w:spacing w:before="80" w:line="580" w:lineRule="exact"/>
              <w:ind w:left="115"/>
              <w:rPr>
                <w:rFonts w:hint="eastAsia" w:ascii="仿宋_GB2312" w:hAnsi="仿宋_GB2312" w:eastAsia="仿宋_GB2312" w:cs="仿宋_GB2312"/>
              </w:rPr>
            </w:pPr>
            <w:r>
              <w:rPr>
                <w:rFonts w:hint="eastAsia" w:ascii="仿宋_GB2312" w:hAnsi="仿宋_GB2312" w:eastAsia="仿宋_GB2312" w:cs="仿宋_GB2312"/>
                <w:spacing w:val="11"/>
              </w:rPr>
              <w:t>造</w:t>
            </w:r>
            <w:r>
              <w:rPr>
                <w:rFonts w:hint="eastAsia" w:ascii="仿宋_GB2312" w:hAnsi="仿宋_GB2312" w:eastAsia="仿宋_GB2312" w:cs="仿宋_GB2312"/>
                <w:spacing w:val="7"/>
              </w:rPr>
              <w:t>价咨询单位意见：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18"/>
              <w:rPr>
                <w:rFonts w:hint="eastAsia" w:ascii="仿宋_GB2312" w:hAnsi="仿宋_GB2312" w:eastAsia="仿宋_GB2312" w:cs="仿宋_GB2312"/>
              </w:rPr>
            </w:pPr>
            <w:r>
              <w:rPr>
                <w:rFonts w:hint="eastAsia" w:ascii="仿宋_GB2312" w:hAnsi="仿宋_GB2312" w:eastAsia="仿宋_GB2312" w:cs="仿宋_GB2312"/>
                <w:spacing w:val="4"/>
                <w:position w:val="8"/>
              </w:rPr>
              <w:t>经办人</w:t>
            </w:r>
            <w:r>
              <w:rPr>
                <w:rFonts w:hint="eastAsia" w:ascii="仿宋_GB2312" w:hAnsi="仿宋_GB2312" w:eastAsia="仿宋_GB2312" w:cs="仿宋_GB2312"/>
                <w:spacing w:val="3"/>
                <w:position w:val="8"/>
              </w:rPr>
              <w:t>：</w:t>
            </w:r>
          </w:p>
          <w:p>
            <w:pPr>
              <w:spacing w:line="580" w:lineRule="exact"/>
              <w:ind w:left="122"/>
              <w:rPr>
                <w:rFonts w:hint="eastAsia" w:ascii="仿宋_GB2312" w:hAnsi="仿宋_GB2312" w:eastAsia="仿宋_GB2312" w:cs="仿宋_GB2312"/>
              </w:rPr>
            </w:pPr>
            <w:r>
              <w:rPr>
                <w:rFonts w:hint="eastAsia" w:ascii="仿宋_GB2312" w:hAnsi="仿宋_GB2312" w:eastAsia="仿宋_GB2312" w:cs="仿宋_GB2312"/>
                <w:spacing w:val="4"/>
              </w:rPr>
              <w:t>复</w:t>
            </w:r>
            <w:r>
              <w:rPr>
                <w:rFonts w:hint="eastAsia" w:ascii="仿宋_GB2312" w:hAnsi="仿宋_GB2312" w:eastAsia="仿宋_GB2312" w:cs="仿宋_GB2312"/>
                <w:spacing w:val="3"/>
              </w:rPr>
              <w:t>核</w:t>
            </w:r>
            <w:r>
              <w:rPr>
                <w:rFonts w:hint="eastAsia" w:ascii="仿宋_GB2312" w:hAnsi="仿宋_GB2312" w:eastAsia="仿宋_GB2312" w:cs="仿宋_GB2312"/>
                <w:spacing w:val="2"/>
              </w:rPr>
              <w:t>人：</w:t>
            </w:r>
          </w:p>
          <w:p>
            <w:pPr>
              <w:spacing w:before="74" w:line="580" w:lineRule="exact"/>
              <w:ind w:left="118"/>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80" w:line="580" w:lineRule="exact"/>
              <w:ind w:left="1164" w:firstLine="468" w:firstLineChars="200"/>
              <w:rPr>
                <w:rFonts w:hint="eastAsia" w:ascii="仿宋_GB2312" w:hAnsi="仿宋_GB2312" w:eastAsia="仿宋_GB2312" w:cs="仿宋_GB2312"/>
              </w:rPr>
            </w:pPr>
            <w:r>
              <w:rPr>
                <w:rFonts w:hint="eastAsia" w:ascii="仿宋_GB2312" w:hAnsi="仿宋_GB2312" w:eastAsia="仿宋_GB2312" w:cs="仿宋_GB2312"/>
                <w:spacing w:val="12"/>
              </w:rPr>
              <w:t xml:space="preserve">年  </w:t>
            </w:r>
            <w:r>
              <w:rPr>
                <w:rFonts w:hint="eastAsia" w:ascii="仿宋_GB2312" w:hAnsi="仿宋_GB2312" w:eastAsia="仿宋_GB2312" w:cs="仿宋_GB2312"/>
                <w:spacing w:val="10"/>
              </w:rPr>
              <w:t>月  日</w:t>
            </w:r>
          </w:p>
        </w:tc>
        <w:tc>
          <w:tcPr>
            <w:tcW w:w="2947" w:type="dxa"/>
          </w:tcPr>
          <w:p>
            <w:pPr>
              <w:spacing w:before="80" w:line="580" w:lineRule="exact"/>
              <w:ind w:left="113"/>
              <w:rPr>
                <w:rFonts w:hint="eastAsia" w:ascii="仿宋_GB2312" w:hAnsi="仿宋_GB2312" w:eastAsia="仿宋_GB2312" w:cs="仿宋_GB2312"/>
              </w:rPr>
            </w:pPr>
            <w:r>
              <w:rPr>
                <w:rFonts w:hint="eastAsia" w:ascii="仿宋_GB2312" w:hAnsi="仿宋_GB2312" w:eastAsia="仿宋_GB2312" w:cs="仿宋_GB2312"/>
                <w:spacing w:val="9"/>
              </w:rPr>
              <w:t>建</w:t>
            </w:r>
            <w:r>
              <w:rPr>
                <w:rFonts w:hint="eastAsia" w:ascii="仿宋_GB2312" w:hAnsi="仿宋_GB2312" w:eastAsia="仿宋_GB2312" w:cs="仿宋_GB2312"/>
                <w:spacing w:val="7"/>
              </w:rPr>
              <w:t>设单位意见：</w:t>
            </w: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line="580" w:lineRule="exact"/>
              <w:rPr>
                <w:rFonts w:hint="eastAsia" w:ascii="仿宋_GB2312" w:hAnsi="仿宋_GB2312" w:eastAsia="仿宋_GB2312" w:cs="仿宋_GB2312"/>
              </w:rPr>
            </w:pPr>
          </w:p>
          <w:p>
            <w:pPr>
              <w:spacing w:before="65" w:line="580" w:lineRule="exact"/>
              <w:ind w:left="120"/>
              <w:rPr>
                <w:rFonts w:hint="eastAsia" w:ascii="仿宋_GB2312" w:hAnsi="仿宋_GB2312" w:eastAsia="仿宋_GB2312" w:cs="仿宋_GB2312"/>
              </w:rPr>
            </w:pPr>
            <w:r>
              <w:rPr>
                <w:rFonts w:hint="eastAsia" w:ascii="仿宋_GB2312" w:hAnsi="仿宋_GB2312" w:eastAsia="仿宋_GB2312" w:cs="仿宋_GB2312"/>
                <w:spacing w:val="4"/>
              </w:rPr>
              <w:t>经办人</w:t>
            </w:r>
            <w:r>
              <w:rPr>
                <w:rFonts w:hint="eastAsia" w:ascii="仿宋_GB2312" w:hAnsi="仿宋_GB2312" w:eastAsia="仿宋_GB2312" w:cs="仿宋_GB2312"/>
                <w:spacing w:val="3"/>
              </w:rPr>
              <w:t>：</w:t>
            </w:r>
          </w:p>
          <w:p>
            <w:pPr>
              <w:spacing w:before="72" w:line="580" w:lineRule="exact"/>
              <w:ind w:left="118"/>
              <w:rPr>
                <w:rFonts w:hint="eastAsia" w:ascii="仿宋_GB2312" w:hAnsi="仿宋_GB2312" w:eastAsia="仿宋_GB2312" w:cs="仿宋_GB2312"/>
              </w:rPr>
            </w:pPr>
            <w:r>
              <w:rPr>
                <w:rFonts w:hint="eastAsia" w:ascii="仿宋_GB2312" w:hAnsi="仿宋_GB2312" w:eastAsia="仿宋_GB2312" w:cs="仿宋_GB2312"/>
                <w:spacing w:val="8"/>
                <w:position w:val="8"/>
              </w:rPr>
              <w:t>项</w:t>
            </w:r>
            <w:r>
              <w:rPr>
                <w:rFonts w:hint="eastAsia" w:ascii="仿宋_GB2312" w:hAnsi="仿宋_GB2312" w:eastAsia="仿宋_GB2312" w:cs="仿宋_GB2312"/>
                <w:spacing w:val="6"/>
                <w:position w:val="8"/>
              </w:rPr>
              <w:t>目负责人：</w:t>
            </w:r>
          </w:p>
          <w:p>
            <w:pPr>
              <w:spacing w:before="1" w:line="580" w:lineRule="exact"/>
              <w:ind w:left="120"/>
              <w:rPr>
                <w:rFonts w:hint="eastAsia" w:ascii="仿宋_GB2312" w:hAnsi="仿宋_GB2312" w:eastAsia="仿宋_GB2312" w:cs="仿宋_GB2312"/>
              </w:rPr>
            </w:pPr>
            <w:r>
              <w:rPr>
                <w:rFonts w:hint="eastAsia" w:ascii="仿宋_GB2312" w:hAnsi="仿宋_GB2312" w:eastAsia="仿宋_GB2312" w:cs="仿宋_GB2312"/>
                <w:spacing w:val="5"/>
              </w:rPr>
              <w:t>单位盖章</w:t>
            </w:r>
            <w:r>
              <w:rPr>
                <w:rFonts w:hint="eastAsia" w:ascii="仿宋_GB2312" w:hAnsi="仿宋_GB2312" w:eastAsia="仿宋_GB2312" w:cs="仿宋_GB2312"/>
                <w:spacing w:val="4"/>
              </w:rPr>
              <w:t>：</w:t>
            </w:r>
          </w:p>
          <w:p>
            <w:pPr>
              <w:spacing w:before="79" w:line="580" w:lineRule="exact"/>
              <w:ind w:left="1061" w:firstLine="468" w:firstLineChars="200"/>
              <w:rPr>
                <w:rFonts w:hint="eastAsia" w:ascii="仿宋_GB2312" w:hAnsi="仿宋_GB2312" w:eastAsia="仿宋_GB2312" w:cs="仿宋_GB2312"/>
              </w:rPr>
            </w:pPr>
            <w:r>
              <w:rPr>
                <w:rFonts w:hint="eastAsia" w:ascii="仿宋_GB2312" w:hAnsi="仿宋_GB2312" w:eastAsia="仿宋_GB2312" w:cs="仿宋_GB2312"/>
                <w:spacing w:val="12"/>
              </w:rPr>
              <w:t xml:space="preserve">年  </w:t>
            </w:r>
            <w:r>
              <w:rPr>
                <w:rFonts w:hint="eastAsia" w:ascii="仿宋_GB2312" w:hAnsi="仿宋_GB2312" w:eastAsia="仿宋_GB2312" w:cs="仿宋_GB2312"/>
                <w:spacing w:val="10"/>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8526" w:type="dxa"/>
            <w:gridSpan w:val="6"/>
          </w:tcPr>
          <w:p>
            <w:pPr>
              <w:spacing w:before="81" w:line="580" w:lineRule="exact"/>
              <w:ind w:left="119"/>
              <w:rPr>
                <w:rFonts w:hint="eastAsia" w:ascii="仿宋_GB2312" w:hAnsi="仿宋_GB2312" w:eastAsia="仿宋_GB2312" w:cs="仿宋_GB2312"/>
              </w:rPr>
            </w:pPr>
            <w:r>
              <w:rPr>
                <w:rFonts w:hint="eastAsia" w:ascii="仿宋_GB2312" w:hAnsi="仿宋_GB2312" w:eastAsia="仿宋_GB2312" w:cs="仿宋_GB2312"/>
                <w:spacing w:val="10"/>
              </w:rPr>
              <w:t>备</w:t>
            </w:r>
            <w:r>
              <w:rPr>
                <w:rFonts w:hint="eastAsia" w:ascii="仿宋_GB2312" w:hAnsi="仿宋_GB2312" w:eastAsia="仿宋_GB2312" w:cs="仿宋_GB2312"/>
                <w:spacing w:val="7"/>
              </w:rPr>
              <w:t>注：1．施工单位、造价咨询单位的经办人和复核人必须具有造价员或造价师的执业资格，</w:t>
            </w:r>
            <w:r>
              <w:rPr>
                <w:rFonts w:hint="eastAsia" w:ascii="仿宋_GB2312" w:hAnsi="仿宋_GB2312" w:eastAsia="仿宋_GB2312" w:cs="仿宋_GB2312"/>
                <w:spacing w:val="18"/>
              </w:rPr>
              <w:t>签字</w:t>
            </w:r>
            <w:r>
              <w:rPr>
                <w:rFonts w:hint="eastAsia" w:ascii="仿宋_GB2312" w:hAnsi="仿宋_GB2312" w:eastAsia="仿宋_GB2312" w:cs="仿宋_GB2312"/>
                <w:spacing w:val="9"/>
              </w:rPr>
              <w:t>后加盖执业章；2．各相关责任单位(含建设、代建、设计、施工、监理、造价</w:t>
            </w:r>
            <w:r>
              <w:rPr>
                <w:rFonts w:hint="eastAsia" w:ascii="仿宋_GB2312" w:hAnsi="仿宋_GB2312" w:eastAsia="仿宋_GB2312" w:cs="仿宋_GB2312"/>
                <w:spacing w:val="7"/>
              </w:rPr>
              <w:t>咨询等)必须对其所提供的与项目变更、造价有关资料的真实性、完整性、合法性</w:t>
            </w:r>
            <w:r>
              <w:rPr>
                <w:rFonts w:hint="eastAsia" w:ascii="仿宋_GB2312" w:hAnsi="仿宋_GB2312" w:eastAsia="仿宋_GB2312" w:cs="仿宋_GB2312"/>
                <w:spacing w:val="5"/>
              </w:rPr>
              <w:t>和</w:t>
            </w:r>
            <w:r>
              <w:rPr>
                <w:rFonts w:hint="eastAsia" w:ascii="仿宋_GB2312" w:hAnsi="仿宋_GB2312" w:eastAsia="仿宋_GB2312" w:cs="仿宋_GB2312"/>
                <w:spacing w:val="7"/>
              </w:rPr>
              <w:t>经济合理性负责</w:t>
            </w:r>
            <w:r>
              <w:rPr>
                <w:rFonts w:hint="eastAsia" w:ascii="仿宋_GB2312" w:hAnsi="仿宋_GB2312" w:eastAsia="仿宋_GB2312" w:cs="仿宋_GB2312"/>
                <w:spacing w:val="6"/>
              </w:rPr>
              <w:t>。</w:t>
            </w:r>
          </w:p>
        </w:tc>
      </w:tr>
    </w:tbl>
    <w:p>
      <w:pPr>
        <w:spacing w:line="580" w:lineRule="exact"/>
        <w:sectPr>
          <w:footerReference r:id="rId5" w:type="default"/>
          <w:pgSz w:w="11905" w:h="16839"/>
          <w:pgMar w:top="1431" w:right="1687" w:bottom="1763" w:left="1561" w:header="0" w:footer="1489" w:gutter="0"/>
          <w:cols w:space="720" w:num="1"/>
        </w:sectPr>
      </w:pPr>
    </w:p>
    <w:p>
      <w:pPr>
        <w:spacing w:before="101" w:line="580" w:lineRule="exact"/>
        <w:rPr>
          <w:rFonts w:hint="eastAsia" w:ascii="黑体" w:hAnsi="黑体" w:eastAsia="黑体" w:cs="黑体"/>
          <w:spacing w:val="-20"/>
          <w:sz w:val="32"/>
          <w:szCs w:val="32"/>
        </w:rPr>
      </w:pPr>
      <w:r>
        <w:rPr>
          <w:rFonts w:hint="eastAsia" w:ascii="黑体" w:hAnsi="黑体" w:eastAsia="黑体" w:cs="黑体"/>
          <w:spacing w:val="-21"/>
          <w:sz w:val="32"/>
          <w:szCs w:val="32"/>
        </w:rPr>
        <w:t>附</w:t>
      </w:r>
      <w:r>
        <w:rPr>
          <w:rFonts w:hint="eastAsia" w:ascii="黑体" w:hAnsi="黑体" w:eastAsia="黑体" w:cs="黑体"/>
          <w:spacing w:val="-20"/>
          <w:sz w:val="32"/>
          <w:szCs w:val="32"/>
        </w:rPr>
        <w:t>件3</w:t>
      </w:r>
    </w:p>
    <w:p>
      <w:pPr>
        <w:pStyle w:val="2"/>
        <w:jc w:val="center"/>
      </w:pPr>
      <w:r>
        <w:rPr>
          <w:rFonts w:hint="eastAsia" w:ascii="小标宋" w:hAnsi="小标宋" w:eastAsia="小标宋" w:cs="小标宋"/>
          <w:spacing w:val="-20"/>
          <w:sz w:val="44"/>
          <w:szCs w:val="44"/>
          <w:lang w:val="en-US" w:eastAsia="zh-CN"/>
        </w:rPr>
        <w:t>变更方案审查意见书</w:t>
      </w:r>
    </w:p>
    <w:tbl>
      <w:tblPr>
        <w:tblStyle w:val="7"/>
        <w:tblW w:w="9624" w:type="dxa"/>
        <w:tblInd w:w="93" w:type="dxa"/>
        <w:tblLayout w:type="fixed"/>
        <w:tblCellMar>
          <w:top w:w="0" w:type="dxa"/>
          <w:left w:w="108" w:type="dxa"/>
          <w:bottom w:w="0" w:type="dxa"/>
          <w:right w:w="108" w:type="dxa"/>
        </w:tblCellMar>
      </w:tblPr>
      <w:tblGrid>
        <w:gridCol w:w="1407"/>
        <w:gridCol w:w="3273"/>
        <w:gridCol w:w="1437"/>
        <w:gridCol w:w="3507"/>
      </w:tblGrid>
      <w:tr>
        <w:tblPrEx>
          <w:tblCellMar>
            <w:top w:w="0" w:type="dxa"/>
            <w:left w:w="108" w:type="dxa"/>
            <w:bottom w:w="0" w:type="dxa"/>
            <w:right w:w="108" w:type="dxa"/>
          </w:tblCellMar>
        </w:tblPrEx>
        <w:trPr>
          <w:trHeight w:val="423"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建设单位</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53"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项目名称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项目概算</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03"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合同名称</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合同价</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37"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变更事项</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02" w:hRule="atLeast"/>
        </w:trPr>
        <w:tc>
          <w:tcPr>
            <w:tcW w:w="9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变更类别：□较大变更、 □重大变更</w:t>
            </w:r>
          </w:p>
        </w:tc>
      </w:tr>
      <w:tr>
        <w:tblPrEx>
          <w:tblCellMar>
            <w:top w:w="0" w:type="dxa"/>
            <w:left w:w="108" w:type="dxa"/>
            <w:bottom w:w="0" w:type="dxa"/>
            <w:right w:w="108" w:type="dxa"/>
          </w:tblCellMar>
        </w:tblPrEx>
        <w:trPr>
          <w:trHeight w:val="683"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造价增减绝对额</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trike w:val="0"/>
                <w:sz w:val="21"/>
                <w:szCs w:val="21"/>
                <w:lang w:bidi="ar"/>
              </w:rPr>
              <w:t>金额</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变更内容及原因： </w:t>
            </w: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12"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变更必要性分析：</w:t>
            </w: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12"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技术合理性分析：附专家论证报告</w:t>
            </w: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12"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价格合理性分析：附造价咨询审核报告</w:t>
            </w: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12"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60" w:hRule="atLeast"/>
        </w:trPr>
        <w:tc>
          <w:tcPr>
            <w:tcW w:w="96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Pr>
          <w:p>
            <w:pPr>
              <w:ind w:left="5670" w:hanging="5670" w:hangingChars="2700"/>
              <w:textAlignment w:val="top"/>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color w:val="FF0000"/>
                <w:sz w:val="21"/>
                <w:szCs w:val="21"/>
                <w:lang w:bidi="ar"/>
              </w:rPr>
              <w:t>行业</w:t>
            </w:r>
            <w:r>
              <w:rPr>
                <w:rFonts w:hint="eastAsia" w:ascii="仿宋_GB2312" w:hAnsi="仿宋_GB2312" w:eastAsia="仿宋_GB2312" w:cs="仿宋_GB2312"/>
                <w:sz w:val="21"/>
                <w:szCs w:val="21"/>
                <w:lang w:bidi="ar"/>
              </w:rPr>
              <w:t>主管部门意见</w:t>
            </w:r>
            <w:r>
              <w:rPr>
                <w:rFonts w:hint="eastAsia" w:ascii="仿宋_GB2312" w:hAnsi="仿宋_GB2312" w:eastAsia="仿宋_GB2312" w:cs="仿宋_GB2312"/>
                <w:sz w:val="21"/>
                <w:szCs w:val="21"/>
                <w:lang w:val="en-US" w:eastAsia="zh-CN" w:bidi="ar"/>
              </w:rPr>
              <w:t xml:space="preserve">   </w:t>
            </w:r>
            <w:r>
              <w:rPr>
                <w:rFonts w:hint="eastAsia" w:ascii="仿宋_GB2312" w:hAnsi="仿宋_GB2312" w:eastAsia="仿宋_GB2312" w:cs="仿宋_GB2312"/>
                <w:sz w:val="21"/>
                <w:szCs w:val="21"/>
                <w:lang w:bidi="ar"/>
              </w:rPr>
              <w:t xml:space="preserve">                                                                      </w:t>
            </w:r>
            <w:r>
              <w:rPr>
                <w:rFonts w:hint="eastAsia" w:ascii="仿宋_GB2312" w:hAnsi="仿宋_GB2312" w:eastAsia="仿宋_GB2312" w:cs="仿宋_GB2312"/>
                <w:sz w:val="21"/>
                <w:szCs w:val="21"/>
                <w:lang w:val="en-US" w:eastAsia="zh-CN" w:bidi="ar"/>
              </w:rPr>
              <w:t xml:space="preserve">           </w:t>
            </w:r>
          </w:p>
          <w:p>
            <w:pPr>
              <w:ind w:left="5670" w:hanging="5670" w:hangingChars="2700"/>
              <w:textAlignment w:val="top"/>
              <w:rPr>
                <w:rFonts w:hint="eastAsia" w:ascii="仿宋_GB2312" w:hAnsi="仿宋_GB2312" w:eastAsia="仿宋_GB2312" w:cs="仿宋_GB2312"/>
                <w:sz w:val="21"/>
                <w:szCs w:val="21"/>
                <w:lang w:val="en-US" w:eastAsia="zh-CN" w:bidi="ar"/>
              </w:rPr>
            </w:pPr>
          </w:p>
          <w:p>
            <w:pPr>
              <w:ind w:left="5670" w:leftChars="2700" w:firstLine="0" w:firstLineChars="0"/>
              <w:textAlignment w:val="top"/>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签字： </w:t>
            </w:r>
          </w:p>
          <w:p>
            <w:pPr>
              <w:ind w:left="5670" w:leftChars="2700" w:firstLine="0" w:firstLineChars="0"/>
              <w:textAlignment w:val="top"/>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单位盖章：                                                                                                   </w:t>
            </w:r>
            <w:r>
              <w:rPr>
                <w:rFonts w:hint="eastAsia" w:ascii="仿宋_GB2312" w:hAnsi="仿宋_GB2312" w:eastAsia="仿宋_GB2312" w:cs="仿宋_GB2312"/>
                <w:sz w:val="21"/>
                <w:szCs w:val="21"/>
                <w:lang w:val="en-US" w:eastAsia="zh-CN" w:bidi="ar"/>
              </w:rPr>
              <w:t xml:space="preserve">     </w:t>
            </w:r>
            <w:r>
              <w:rPr>
                <w:rFonts w:hint="eastAsia" w:ascii="仿宋_GB2312" w:hAnsi="仿宋_GB2312" w:eastAsia="仿宋_GB2312" w:cs="仿宋_GB2312"/>
                <w:sz w:val="21"/>
                <w:szCs w:val="21"/>
                <w:lang w:bidi="ar"/>
              </w:rPr>
              <w:t>年     月    日</w:t>
            </w: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微软雅黑" w:hAnsi="微软雅黑" w:eastAsia="微软雅黑" w:cs="微软雅黑"/>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微软雅黑" w:hAnsi="微软雅黑" w:eastAsia="微软雅黑" w:cs="微软雅黑"/>
              </w:rPr>
            </w:pPr>
          </w:p>
        </w:tc>
      </w:tr>
      <w:tr>
        <w:tblPrEx>
          <w:tblCellMar>
            <w:top w:w="0" w:type="dxa"/>
            <w:left w:w="108" w:type="dxa"/>
            <w:bottom w:w="0" w:type="dxa"/>
            <w:right w:w="108" w:type="dxa"/>
          </w:tblCellMar>
        </w:tblPrEx>
        <w:trPr>
          <w:trHeight w:val="360"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微软雅黑" w:hAnsi="微软雅黑" w:eastAsia="微软雅黑" w:cs="微软雅黑"/>
              </w:rPr>
            </w:pPr>
          </w:p>
        </w:tc>
      </w:tr>
      <w:tr>
        <w:tblPrEx>
          <w:tblCellMar>
            <w:top w:w="0" w:type="dxa"/>
            <w:left w:w="108" w:type="dxa"/>
            <w:bottom w:w="0" w:type="dxa"/>
            <w:right w:w="108" w:type="dxa"/>
          </w:tblCellMar>
        </w:tblPrEx>
        <w:trPr>
          <w:trHeight w:val="312" w:hRule="atLeast"/>
        </w:trPr>
        <w:tc>
          <w:tcPr>
            <w:tcW w:w="96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微软雅黑" w:hAnsi="微软雅黑" w:eastAsia="微软雅黑" w:cs="微软雅黑"/>
              </w:rPr>
            </w:pPr>
          </w:p>
        </w:tc>
      </w:tr>
    </w:tbl>
    <w:p>
      <w:pPr>
        <w:pStyle w:val="2"/>
        <w:ind w:firstLine="190"/>
        <w:sectPr>
          <w:pgSz w:w="11905" w:h="16839"/>
          <w:pgMar w:top="1431" w:right="1687" w:bottom="1587" w:left="1561" w:header="0" w:footer="1489" w:gutter="0"/>
          <w:cols w:space="720" w:num="1"/>
        </w:sectPr>
      </w:pPr>
    </w:p>
    <w:p>
      <w:pPr>
        <w:spacing w:before="101" w:line="580" w:lineRule="exact"/>
        <w:ind w:left="31"/>
        <w:rPr>
          <w:rFonts w:ascii="黑体" w:hAnsi="黑体" w:eastAsia="黑体" w:cs="黑体"/>
          <w:sz w:val="32"/>
          <w:szCs w:val="32"/>
        </w:rPr>
      </w:pPr>
      <w:r>
        <w:rPr>
          <w:rFonts w:ascii="黑体" w:hAnsi="黑体" w:eastAsia="黑体" w:cs="黑体"/>
          <w:spacing w:val="-21"/>
          <w:sz w:val="32"/>
          <w:szCs w:val="32"/>
        </w:rPr>
        <w:t>附</w:t>
      </w:r>
      <w:r>
        <w:rPr>
          <w:rFonts w:ascii="黑体" w:hAnsi="黑体" w:eastAsia="黑体" w:cs="黑体"/>
          <w:spacing w:val="-20"/>
          <w:sz w:val="32"/>
          <w:szCs w:val="32"/>
        </w:rPr>
        <w:t>件</w:t>
      </w:r>
      <w:r>
        <w:rPr>
          <w:rFonts w:hint="default" w:ascii="黑体" w:hAnsi="黑体" w:eastAsia="黑体" w:cs="黑体"/>
          <w:spacing w:val="-20"/>
          <w:sz w:val="32"/>
          <w:szCs w:val="32"/>
          <w:lang w:val="en-US"/>
        </w:rPr>
        <w:t>4</w:t>
      </w:r>
    </w:p>
    <w:p>
      <w:pPr>
        <w:spacing w:before="90" w:line="580" w:lineRule="exact"/>
        <w:ind w:left="1545"/>
        <w:rPr>
          <w:rFonts w:ascii="微软雅黑" w:hAnsi="微软雅黑" w:eastAsia="微软雅黑" w:cs="微软雅黑"/>
          <w:sz w:val="43"/>
          <w:szCs w:val="43"/>
        </w:rPr>
      </w:pPr>
      <w:r>
        <w:rPr>
          <w:rFonts w:hint="eastAsia" w:ascii="小标宋" w:hAnsi="小标宋" w:eastAsia="小标宋" w:cs="小标宋"/>
          <w:spacing w:val="12"/>
          <w:sz w:val="44"/>
          <w:szCs w:val="44"/>
        </w:rPr>
        <w:t>建</w:t>
      </w:r>
      <w:r>
        <w:rPr>
          <w:rFonts w:hint="eastAsia" w:ascii="小标宋" w:hAnsi="小标宋" w:eastAsia="小标宋" w:cs="小标宋"/>
          <w:spacing w:val="9"/>
          <w:sz w:val="44"/>
          <w:szCs w:val="44"/>
        </w:rPr>
        <w:t>设项目行业主管部门对照表</w:t>
      </w:r>
    </w:p>
    <w:tbl>
      <w:tblPr>
        <w:tblStyle w:val="10"/>
        <w:tblpPr w:leftFromText="180" w:rightFromText="180" w:vertAnchor="text" w:horzAnchor="page" w:tblpX="1690" w:tblpY="552"/>
        <w:tblOverlap w:val="never"/>
        <w:tblW w:w="8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123"/>
        <w:gridCol w:w="4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54" w:type="dxa"/>
            <w:vAlign w:val="center"/>
          </w:tcPr>
          <w:p>
            <w:pPr>
              <w:spacing w:before="60" w:line="580" w:lineRule="exact"/>
              <w:jc w:val="center"/>
              <w:rPr>
                <w:rFonts w:ascii="黑体" w:hAnsi="黑体" w:eastAsia="黑体" w:cs="黑体"/>
                <w:sz w:val="28"/>
                <w:szCs w:val="28"/>
              </w:rPr>
            </w:pPr>
            <w:r>
              <w:rPr>
                <w:rFonts w:ascii="黑体" w:hAnsi="黑体" w:eastAsia="黑体" w:cs="黑体"/>
                <w:spacing w:val="-6"/>
                <w:sz w:val="28"/>
                <w:szCs w:val="28"/>
              </w:rPr>
              <w:t>序</w:t>
            </w:r>
            <w:r>
              <w:rPr>
                <w:rFonts w:ascii="黑体" w:hAnsi="黑体" w:eastAsia="黑体" w:cs="黑体"/>
                <w:spacing w:val="-4"/>
                <w:sz w:val="28"/>
                <w:szCs w:val="28"/>
              </w:rPr>
              <w:t>号</w:t>
            </w:r>
          </w:p>
        </w:tc>
        <w:tc>
          <w:tcPr>
            <w:tcW w:w="3123" w:type="dxa"/>
            <w:vAlign w:val="center"/>
          </w:tcPr>
          <w:p>
            <w:pPr>
              <w:spacing w:before="60" w:line="580" w:lineRule="exact"/>
              <w:jc w:val="center"/>
              <w:rPr>
                <w:rFonts w:ascii="黑体" w:hAnsi="黑体" w:eastAsia="黑体" w:cs="黑体"/>
                <w:sz w:val="28"/>
                <w:szCs w:val="28"/>
              </w:rPr>
            </w:pPr>
            <w:r>
              <w:rPr>
                <w:rFonts w:ascii="黑体" w:hAnsi="黑体" w:eastAsia="黑体" w:cs="黑体"/>
                <w:spacing w:val="-2"/>
                <w:sz w:val="28"/>
                <w:szCs w:val="28"/>
              </w:rPr>
              <w:t>行业主管</w:t>
            </w:r>
            <w:r>
              <w:rPr>
                <w:rFonts w:ascii="黑体" w:hAnsi="黑体" w:eastAsia="黑体" w:cs="黑体"/>
                <w:spacing w:val="-1"/>
                <w:sz w:val="28"/>
                <w:szCs w:val="28"/>
              </w:rPr>
              <w:t>单位</w:t>
            </w:r>
          </w:p>
        </w:tc>
        <w:tc>
          <w:tcPr>
            <w:tcW w:w="4527" w:type="dxa"/>
            <w:vAlign w:val="center"/>
          </w:tcPr>
          <w:p>
            <w:pPr>
              <w:spacing w:before="60" w:line="580" w:lineRule="exact"/>
              <w:jc w:val="center"/>
              <w:rPr>
                <w:rFonts w:ascii="黑体" w:hAnsi="黑体" w:eastAsia="黑体" w:cs="黑体"/>
                <w:sz w:val="28"/>
                <w:szCs w:val="28"/>
              </w:rPr>
            </w:pPr>
            <w:r>
              <w:rPr>
                <w:rFonts w:ascii="黑体" w:hAnsi="黑体" w:eastAsia="黑体" w:cs="黑体"/>
                <w:spacing w:val="-2"/>
                <w:sz w:val="28"/>
                <w:szCs w:val="28"/>
              </w:rPr>
              <w:t>工程类</w:t>
            </w:r>
            <w:r>
              <w:rPr>
                <w:rFonts w:ascii="黑体" w:hAnsi="黑体" w:eastAsia="黑体" w:cs="黑体"/>
                <w:spacing w:val="-1"/>
                <w:sz w:val="28"/>
                <w:szCs w:val="28"/>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4" w:type="dxa"/>
            <w:vAlign w:val="center"/>
          </w:tcPr>
          <w:p>
            <w:pPr>
              <w:spacing w:before="144"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23" w:type="dxa"/>
            <w:vAlign w:val="center"/>
          </w:tcPr>
          <w:p>
            <w:pPr>
              <w:spacing w:before="107" w:line="58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pacing w:val="-13"/>
                <w:sz w:val="28"/>
                <w:szCs w:val="28"/>
                <w:highlight w:val="none"/>
              </w:rPr>
              <w:t>区</w:t>
            </w:r>
            <w:r>
              <w:rPr>
                <w:rFonts w:hint="eastAsia" w:ascii="仿宋_GB2312" w:hAnsi="仿宋_GB2312" w:eastAsia="仿宋_GB2312" w:cs="仿宋_GB2312"/>
                <w:spacing w:val="-12"/>
                <w:sz w:val="28"/>
                <w:szCs w:val="28"/>
                <w:highlight w:val="none"/>
              </w:rPr>
              <w:t>住建局</w:t>
            </w:r>
          </w:p>
        </w:tc>
        <w:tc>
          <w:tcPr>
            <w:tcW w:w="4527" w:type="dxa"/>
            <w:vAlign w:val="center"/>
          </w:tcPr>
          <w:p>
            <w:pPr>
              <w:spacing w:before="95" w:line="58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房建、加固、装</w:t>
            </w:r>
            <w:r>
              <w:rPr>
                <w:rFonts w:hint="eastAsia" w:ascii="仿宋_GB2312" w:hAnsi="仿宋_GB2312" w:eastAsia="仿宋_GB2312" w:cs="仿宋_GB2312"/>
                <w:spacing w:val="-1"/>
                <w:sz w:val="28"/>
                <w:szCs w:val="28"/>
                <w:highlight w:val="none"/>
              </w:rPr>
              <w:t>修、市政建设工程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4" w:type="dxa"/>
            <w:vAlign w:val="center"/>
          </w:tcPr>
          <w:p>
            <w:pPr>
              <w:spacing w:before="144"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23" w:type="dxa"/>
            <w:vAlign w:val="center"/>
          </w:tcPr>
          <w:p>
            <w:pPr>
              <w:spacing w:before="107" w:line="58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pacing w:val="-8"/>
                <w:sz w:val="28"/>
                <w:szCs w:val="28"/>
                <w:highlight w:val="none"/>
              </w:rPr>
              <w:t>区交通运输局</w:t>
            </w:r>
          </w:p>
        </w:tc>
        <w:tc>
          <w:tcPr>
            <w:tcW w:w="4527" w:type="dxa"/>
            <w:vAlign w:val="center"/>
          </w:tcPr>
          <w:p>
            <w:pPr>
              <w:spacing w:before="98" w:line="58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pacing w:val="-3"/>
                <w:sz w:val="28"/>
                <w:szCs w:val="28"/>
                <w:highlight w:val="none"/>
              </w:rPr>
              <w:t>公</w:t>
            </w:r>
            <w:r>
              <w:rPr>
                <w:rFonts w:hint="eastAsia" w:ascii="仿宋_GB2312" w:hAnsi="仿宋_GB2312" w:eastAsia="仿宋_GB2312" w:cs="仿宋_GB2312"/>
                <w:spacing w:val="-2"/>
                <w:sz w:val="28"/>
                <w:szCs w:val="28"/>
                <w:highlight w:val="none"/>
              </w:rPr>
              <w:t>路、</w:t>
            </w:r>
            <w:r>
              <w:rPr>
                <w:rFonts w:hint="eastAsia" w:ascii="仿宋_GB2312" w:hAnsi="仿宋_GB2312" w:eastAsia="仿宋_GB2312" w:cs="仿宋_GB2312"/>
                <w:spacing w:val="-1"/>
                <w:sz w:val="28"/>
                <w:szCs w:val="28"/>
                <w:highlight w:val="none"/>
              </w:rPr>
              <w:t>水运码头</w:t>
            </w:r>
            <w:r>
              <w:rPr>
                <w:rFonts w:hint="eastAsia" w:ascii="仿宋_GB2312" w:hAnsi="仿宋_GB2312" w:eastAsia="仿宋_GB2312" w:cs="仿宋_GB2312"/>
                <w:spacing w:val="-2"/>
                <w:sz w:val="28"/>
                <w:szCs w:val="28"/>
                <w:highlight w:val="none"/>
              </w:rPr>
              <w:t>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4" w:type="dxa"/>
            <w:vAlign w:val="center"/>
          </w:tcPr>
          <w:p>
            <w:pPr>
              <w:spacing w:before="144"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23" w:type="dxa"/>
            <w:vAlign w:val="center"/>
          </w:tcPr>
          <w:p>
            <w:pPr>
              <w:spacing w:before="109"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区农业农村局</w:t>
            </w:r>
          </w:p>
        </w:tc>
        <w:tc>
          <w:tcPr>
            <w:tcW w:w="4527" w:type="dxa"/>
            <w:vAlign w:val="center"/>
          </w:tcPr>
          <w:p>
            <w:pPr>
              <w:spacing w:before="99"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水利</w:t>
            </w:r>
            <w:r>
              <w:rPr>
                <w:rFonts w:hint="eastAsia" w:ascii="仿宋_GB2312" w:hAnsi="仿宋_GB2312" w:eastAsia="仿宋_GB2312" w:cs="仿宋_GB2312"/>
                <w:spacing w:val="-1"/>
                <w:sz w:val="28"/>
                <w:szCs w:val="28"/>
              </w:rPr>
              <w:t>、农业建设工程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4" w:type="dxa"/>
            <w:vAlign w:val="center"/>
          </w:tcPr>
          <w:p>
            <w:pPr>
              <w:spacing w:before="146"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23" w:type="dxa"/>
            <w:vAlign w:val="center"/>
          </w:tcPr>
          <w:p>
            <w:pPr>
              <w:spacing w:before="11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区文化和广电旅游体育局</w:t>
            </w:r>
          </w:p>
        </w:tc>
        <w:tc>
          <w:tcPr>
            <w:tcW w:w="4527" w:type="dxa"/>
            <w:vAlign w:val="center"/>
          </w:tcPr>
          <w:p>
            <w:pPr>
              <w:spacing w:before="10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文物保护建设工程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4" w:type="dxa"/>
            <w:vAlign w:val="center"/>
          </w:tcPr>
          <w:p>
            <w:pPr>
              <w:spacing w:before="151"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23" w:type="dxa"/>
            <w:vAlign w:val="center"/>
          </w:tcPr>
          <w:p>
            <w:pPr>
              <w:spacing w:before="11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区综合行政执法局</w:t>
            </w:r>
          </w:p>
        </w:tc>
        <w:tc>
          <w:tcPr>
            <w:tcW w:w="4527" w:type="dxa"/>
            <w:vAlign w:val="center"/>
          </w:tcPr>
          <w:p>
            <w:pPr>
              <w:spacing w:before="101" w:line="58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绿化提升、市政维护、排水管网、二次供水、环卫设施提升改造工程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4" w:type="dxa"/>
            <w:vAlign w:val="center"/>
          </w:tcPr>
          <w:p>
            <w:pPr>
              <w:spacing w:before="151"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23" w:type="dxa"/>
            <w:vAlign w:val="center"/>
          </w:tcPr>
          <w:p>
            <w:pPr>
              <w:spacing w:before="110" w:line="580" w:lineRule="exact"/>
              <w:jc w:val="center"/>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区大数据管理中心</w:t>
            </w:r>
          </w:p>
        </w:tc>
        <w:tc>
          <w:tcPr>
            <w:tcW w:w="4527" w:type="dxa"/>
            <w:vAlign w:val="center"/>
          </w:tcPr>
          <w:p>
            <w:pPr>
              <w:spacing w:before="101" w:line="580" w:lineRule="exact"/>
              <w:jc w:val="center"/>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信</w:t>
            </w:r>
            <w:r>
              <w:rPr>
                <w:rFonts w:hint="eastAsia" w:ascii="仿宋_GB2312" w:hAnsi="仿宋_GB2312" w:eastAsia="仿宋_GB2312" w:cs="仿宋_GB2312"/>
                <w:sz w:val="28"/>
                <w:szCs w:val="28"/>
              </w:rPr>
              <w:t>息化项目</w:t>
            </w:r>
          </w:p>
        </w:tc>
      </w:tr>
    </w:tbl>
    <w:p>
      <w:pPr>
        <w:spacing w:line="580" w:lineRule="exact"/>
        <w:rPr>
          <w:rFonts w:eastAsia="宋体"/>
        </w:rPr>
      </w:pPr>
      <w:r>
        <w:rPr>
          <w:rFonts w:hint="eastAsia" w:eastAsia="宋体"/>
        </w:rPr>
        <w:t xml:space="preserve">     备注：建设项目行业主管部门以主体工程对应的行业主管部门为准。</w:t>
      </w:r>
    </w:p>
    <w:p>
      <w:pPr>
        <w:pStyle w:val="2"/>
        <w:ind w:firstLine="190"/>
        <w:rPr>
          <w:lang w:eastAsia="zh-CN"/>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sz w:val="12"/>
        </w:rPr>
      </w:pPr>
    </w:p>
    <w:sectPr>
      <w:footerReference r:id="rId6" w:type="default"/>
      <w:pgSz w:w="11905" w:h="16839"/>
      <w:pgMar w:top="1431" w:right="1530" w:bottom="1644" w:left="1530" w:header="0" w:footer="14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50"/>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454"/>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74"/>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306"/>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MGI2Y2IwMzNhMmUwMTRhZjRjM2UzMDIxMGUyYTkifQ=="/>
  </w:docVars>
  <w:rsids>
    <w:rsidRoot w:val="00A444A6"/>
    <w:rsid w:val="00022D46"/>
    <w:rsid w:val="001B685B"/>
    <w:rsid w:val="004E0863"/>
    <w:rsid w:val="00536039"/>
    <w:rsid w:val="006312EA"/>
    <w:rsid w:val="0063517C"/>
    <w:rsid w:val="00A42231"/>
    <w:rsid w:val="00A444A6"/>
    <w:rsid w:val="00B00BD6"/>
    <w:rsid w:val="00BA46B9"/>
    <w:rsid w:val="00D03E7D"/>
    <w:rsid w:val="00DF387E"/>
    <w:rsid w:val="00E311FD"/>
    <w:rsid w:val="00E505D5"/>
    <w:rsid w:val="00E77C93"/>
    <w:rsid w:val="00F1438F"/>
    <w:rsid w:val="014337F8"/>
    <w:rsid w:val="020016E9"/>
    <w:rsid w:val="031704B8"/>
    <w:rsid w:val="03241BDA"/>
    <w:rsid w:val="033267EB"/>
    <w:rsid w:val="035128B5"/>
    <w:rsid w:val="039667A9"/>
    <w:rsid w:val="03FA2AAB"/>
    <w:rsid w:val="043F474B"/>
    <w:rsid w:val="04602913"/>
    <w:rsid w:val="04770389"/>
    <w:rsid w:val="05290E6D"/>
    <w:rsid w:val="054F0FCF"/>
    <w:rsid w:val="057B5C57"/>
    <w:rsid w:val="05AA653C"/>
    <w:rsid w:val="05E80062"/>
    <w:rsid w:val="062F259D"/>
    <w:rsid w:val="06510766"/>
    <w:rsid w:val="06DF3FC3"/>
    <w:rsid w:val="06E71804"/>
    <w:rsid w:val="07F615C4"/>
    <w:rsid w:val="08AB7CE1"/>
    <w:rsid w:val="08C4020F"/>
    <w:rsid w:val="08F17FDE"/>
    <w:rsid w:val="08FA6E92"/>
    <w:rsid w:val="09000221"/>
    <w:rsid w:val="09242161"/>
    <w:rsid w:val="09581A2C"/>
    <w:rsid w:val="0969226A"/>
    <w:rsid w:val="0A165F4E"/>
    <w:rsid w:val="0A3C7C3D"/>
    <w:rsid w:val="0A470BB2"/>
    <w:rsid w:val="0AC72755"/>
    <w:rsid w:val="0AC87203"/>
    <w:rsid w:val="0C1B70EE"/>
    <w:rsid w:val="0C1F03C8"/>
    <w:rsid w:val="0C2F22A6"/>
    <w:rsid w:val="0C521BEE"/>
    <w:rsid w:val="0C5745FC"/>
    <w:rsid w:val="0C915D60"/>
    <w:rsid w:val="0C970E9C"/>
    <w:rsid w:val="0CBA4A82"/>
    <w:rsid w:val="0D10137A"/>
    <w:rsid w:val="0D7C07BE"/>
    <w:rsid w:val="0DAE649D"/>
    <w:rsid w:val="0DEC1D46"/>
    <w:rsid w:val="0EA46AC8"/>
    <w:rsid w:val="0EAF24CD"/>
    <w:rsid w:val="0F040A6B"/>
    <w:rsid w:val="0F2F360E"/>
    <w:rsid w:val="0F59068B"/>
    <w:rsid w:val="0F73799F"/>
    <w:rsid w:val="0F9067A2"/>
    <w:rsid w:val="105B30BE"/>
    <w:rsid w:val="10881228"/>
    <w:rsid w:val="10E01064"/>
    <w:rsid w:val="11963E18"/>
    <w:rsid w:val="11BA18B5"/>
    <w:rsid w:val="11DA38EA"/>
    <w:rsid w:val="12695089"/>
    <w:rsid w:val="126B2FBB"/>
    <w:rsid w:val="12810624"/>
    <w:rsid w:val="1356385F"/>
    <w:rsid w:val="139D4FEA"/>
    <w:rsid w:val="14184FB8"/>
    <w:rsid w:val="15035321"/>
    <w:rsid w:val="15FE3525"/>
    <w:rsid w:val="16471A2D"/>
    <w:rsid w:val="165A18B8"/>
    <w:rsid w:val="169F72CB"/>
    <w:rsid w:val="174C6EBE"/>
    <w:rsid w:val="17914EDD"/>
    <w:rsid w:val="17AA4179"/>
    <w:rsid w:val="19081158"/>
    <w:rsid w:val="1A0A3945"/>
    <w:rsid w:val="1B1C0EEA"/>
    <w:rsid w:val="1B251590"/>
    <w:rsid w:val="1B414DF5"/>
    <w:rsid w:val="1BD47961"/>
    <w:rsid w:val="1CFD6521"/>
    <w:rsid w:val="1D0A7725"/>
    <w:rsid w:val="1D824DE3"/>
    <w:rsid w:val="1DE17BE3"/>
    <w:rsid w:val="1EA929A4"/>
    <w:rsid w:val="1FE12702"/>
    <w:rsid w:val="2041271D"/>
    <w:rsid w:val="20BE4B11"/>
    <w:rsid w:val="211F1A3D"/>
    <w:rsid w:val="21B7196D"/>
    <w:rsid w:val="21DE339D"/>
    <w:rsid w:val="2257617A"/>
    <w:rsid w:val="239D08BB"/>
    <w:rsid w:val="23ED1676"/>
    <w:rsid w:val="246E6723"/>
    <w:rsid w:val="253D487F"/>
    <w:rsid w:val="25A91F14"/>
    <w:rsid w:val="25CE337B"/>
    <w:rsid w:val="262E5F76"/>
    <w:rsid w:val="263E3E76"/>
    <w:rsid w:val="2694227D"/>
    <w:rsid w:val="26C32694"/>
    <w:rsid w:val="26C8461C"/>
    <w:rsid w:val="26F471BF"/>
    <w:rsid w:val="27DE2596"/>
    <w:rsid w:val="284524D2"/>
    <w:rsid w:val="28CF3A40"/>
    <w:rsid w:val="2976035F"/>
    <w:rsid w:val="29F33F71"/>
    <w:rsid w:val="2A2878AC"/>
    <w:rsid w:val="2AA3179F"/>
    <w:rsid w:val="2AD74E9D"/>
    <w:rsid w:val="2B4D4A0F"/>
    <w:rsid w:val="2BAF1907"/>
    <w:rsid w:val="2C106849"/>
    <w:rsid w:val="2C8B7AE6"/>
    <w:rsid w:val="2CE33F5E"/>
    <w:rsid w:val="2CEA52EC"/>
    <w:rsid w:val="2D340315"/>
    <w:rsid w:val="2D4F514F"/>
    <w:rsid w:val="2D7352E2"/>
    <w:rsid w:val="2DAD15F8"/>
    <w:rsid w:val="2DD815E9"/>
    <w:rsid w:val="2E352792"/>
    <w:rsid w:val="2E5D564A"/>
    <w:rsid w:val="2E76495E"/>
    <w:rsid w:val="2E8B0409"/>
    <w:rsid w:val="2ED578E2"/>
    <w:rsid w:val="2EE10029"/>
    <w:rsid w:val="2F1877C3"/>
    <w:rsid w:val="2F634EE2"/>
    <w:rsid w:val="2F7F484C"/>
    <w:rsid w:val="2FEC4ED7"/>
    <w:rsid w:val="30FE2A72"/>
    <w:rsid w:val="313B4368"/>
    <w:rsid w:val="31CF0AB2"/>
    <w:rsid w:val="324A4137"/>
    <w:rsid w:val="32CC497F"/>
    <w:rsid w:val="333C6176"/>
    <w:rsid w:val="3361798A"/>
    <w:rsid w:val="33BF2903"/>
    <w:rsid w:val="36BD0720"/>
    <w:rsid w:val="36CA7953"/>
    <w:rsid w:val="37054AD1"/>
    <w:rsid w:val="38303DCF"/>
    <w:rsid w:val="38417D8A"/>
    <w:rsid w:val="385226B5"/>
    <w:rsid w:val="38AA15F9"/>
    <w:rsid w:val="39203E44"/>
    <w:rsid w:val="39234763"/>
    <w:rsid w:val="3AD317E1"/>
    <w:rsid w:val="3BEE0229"/>
    <w:rsid w:val="3C2D2B00"/>
    <w:rsid w:val="3D0870C9"/>
    <w:rsid w:val="3D0C6BB9"/>
    <w:rsid w:val="3D624A2B"/>
    <w:rsid w:val="3DE43692"/>
    <w:rsid w:val="3DF4272B"/>
    <w:rsid w:val="3DF76379"/>
    <w:rsid w:val="3DFE06F4"/>
    <w:rsid w:val="408F2C52"/>
    <w:rsid w:val="41AC6AF9"/>
    <w:rsid w:val="42164036"/>
    <w:rsid w:val="43754D8C"/>
    <w:rsid w:val="44CD7F9E"/>
    <w:rsid w:val="451A3E3D"/>
    <w:rsid w:val="457A48DC"/>
    <w:rsid w:val="459B7209"/>
    <w:rsid w:val="45A100BA"/>
    <w:rsid w:val="45B95404"/>
    <w:rsid w:val="45C73FC5"/>
    <w:rsid w:val="45FB77CB"/>
    <w:rsid w:val="46186136"/>
    <w:rsid w:val="46784BF4"/>
    <w:rsid w:val="46D5626E"/>
    <w:rsid w:val="47084895"/>
    <w:rsid w:val="471825FE"/>
    <w:rsid w:val="47411B55"/>
    <w:rsid w:val="47887E1C"/>
    <w:rsid w:val="4839282C"/>
    <w:rsid w:val="48A64365"/>
    <w:rsid w:val="48C76BF4"/>
    <w:rsid w:val="48D12A65"/>
    <w:rsid w:val="491867F3"/>
    <w:rsid w:val="49514E3C"/>
    <w:rsid w:val="4A8219F2"/>
    <w:rsid w:val="4BDB7AA5"/>
    <w:rsid w:val="4BE64A79"/>
    <w:rsid w:val="4C4C578B"/>
    <w:rsid w:val="4CAA019C"/>
    <w:rsid w:val="4D0B3027"/>
    <w:rsid w:val="4D341814"/>
    <w:rsid w:val="4DE638B8"/>
    <w:rsid w:val="4E101A21"/>
    <w:rsid w:val="4E4C02AA"/>
    <w:rsid w:val="4EA40E15"/>
    <w:rsid w:val="4EB945F8"/>
    <w:rsid w:val="4EE71D4C"/>
    <w:rsid w:val="4F5B577E"/>
    <w:rsid w:val="4FAA0CCD"/>
    <w:rsid w:val="507408A5"/>
    <w:rsid w:val="50DB0593"/>
    <w:rsid w:val="53065A01"/>
    <w:rsid w:val="53106CA4"/>
    <w:rsid w:val="532E7431"/>
    <w:rsid w:val="536C1D08"/>
    <w:rsid w:val="53741139"/>
    <w:rsid w:val="54010B91"/>
    <w:rsid w:val="54585977"/>
    <w:rsid w:val="54BC6CBF"/>
    <w:rsid w:val="55E22755"/>
    <w:rsid w:val="56BA5480"/>
    <w:rsid w:val="56CB31E9"/>
    <w:rsid w:val="576D604E"/>
    <w:rsid w:val="57FF6138"/>
    <w:rsid w:val="583B08EE"/>
    <w:rsid w:val="58BC728D"/>
    <w:rsid w:val="593908DE"/>
    <w:rsid w:val="59505C28"/>
    <w:rsid w:val="595E7E12"/>
    <w:rsid w:val="59650AA3"/>
    <w:rsid w:val="59B60181"/>
    <w:rsid w:val="59BE0A86"/>
    <w:rsid w:val="5A390534"/>
    <w:rsid w:val="5ADE798F"/>
    <w:rsid w:val="5AFC7E15"/>
    <w:rsid w:val="5B8911A3"/>
    <w:rsid w:val="5BFF27EA"/>
    <w:rsid w:val="5CD56B70"/>
    <w:rsid w:val="5CE943C9"/>
    <w:rsid w:val="5DDF7E99"/>
    <w:rsid w:val="5E2636F4"/>
    <w:rsid w:val="5F334021"/>
    <w:rsid w:val="5F37766E"/>
    <w:rsid w:val="60965EEA"/>
    <w:rsid w:val="61C86CA3"/>
    <w:rsid w:val="61F05DE1"/>
    <w:rsid w:val="63100901"/>
    <w:rsid w:val="63A06AA4"/>
    <w:rsid w:val="64AF7CA6"/>
    <w:rsid w:val="65D8147F"/>
    <w:rsid w:val="663C7C5F"/>
    <w:rsid w:val="66C35C8B"/>
    <w:rsid w:val="672C7CD4"/>
    <w:rsid w:val="676A25AA"/>
    <w:rsid w:val="68205930"/>
    <w:rsid w:val="68C47A98"/>
    <w:rsid w:val="69653029"/>
    <w:rsid w:val="6A294057"/>
    <w:rsid w:val="6ACE43D9"/>
    <w:rsid w:val="6B170353"/>
    <w:rsid w:val="6B557D59"/>
    <w:rsid w:val="6B8165D8"/>
    <w:rsid w:val="6B841E8D"/>
    <w:rsid w:val="6BB34520"/>
    <w:rsid w:val="6BE413B1"/>
    <w:rsid w:val="6C53360D"/>
    <w:rsid w:val="6C865790"/>
    <w:rsid w:val="6CF90658"/>
    <w:rsid w:val="6D096180"/>
    <w:rsid w:val="6D3F3B91"/>
    <w:rsid w:val="6DEA7FA1"/>
    <w:rsid w:val="6E0C2A09"/>
    <w:rsid w:val="6E1A6AD8"/>
    <w:rsid w:val="6E8232B6"/>
    <w:rsid w:val="6EA32620"/>
    <w:rsid w:val="6EF70BC7"/>
    <w:rsid w:val="70D62A7A"/>
    <w:rsid w:val="71265794"/>
    <w:rsid w:val="71702BF6"/>
    <w:rsid w:val="727662A7"/>
    <w:rsid w:val="731955B0"/>
    <w:rsid w:val="73221F8B"/>
    <w:rsid w:val="742A1ADF"/>
    <w:rsid w:val="753B10E2"/>
    <w:rsid w:val="753D4E5A"/>
    <w:rsid w:val="75530B22"/>
    <w:rsid w:val="75622B13"/>
    <w:rsid w:val="75882579"/>
    <w:rsid w:val="758919FB"/>
    <w:rsid w:val="75923E31"/>
    <w:rsid w:val="75B96BD7"/>
    <w:rsid w:val="76864652"/>
    <w:rsid w:val="76E92CF5"/>
    <w:rsid w:val="7726029C"/>
    <w:rsid w:val="77505319"/>
    <w:rsid w:val="77A22042"/>
    <w:rsid w:val="77AD62C7"/>
    <w:rsid w:val="781A42C2"/>
    <w:rsid w:val="783B074D"/>
    <w:rsid w:val="7A016D9E"/>
    <w:rsid w:val="7A6510DB"/>
    <w:rsid w:val="7A777060"/>
    <w:rsid w:val="7A8F5D59"/>
    <w:rsid w:val="7AC1208A"/>
    <w:rsid w:val="7B4A207F"/>
    <w:rsid w:val="7C2B1EB0"/>
    <w:rsid w:val="7CB80309"/>
    <w:rsid w:val="7CC31340"/>
    <w:rsid w:val="7D036B66"/>
    <w:rsid w:val="7D040A2A"/>
    <w:rsid w:val="7D9B3066"/>
    <w:rsid w:val="7E7044F2"/>
    <w:rsid w:val="7F6155A2"/>
    <w:rsid w:val="BDFFCC7A"/>
    <w:rsid w:val="C3DF517B"/>
    <w:rsid w:val="F7BBDF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pacing w:val="-20"/>
      <w:lang w:eastAsia="en-US"/>
    </w:rPr>
  </w:style>
  <w:style w:type="paragraph" w:styleId="3">
    <w:name w:val="Body Text"/>
    <w:basedOn w:val="1"/>
    <w:next w:val="2"/>
    <w:qFormat/>
    <w:uiPriority w:val="0"/>
    <w:pPr>
      <w:spacing w:after="120"/>
    </w:pPr>
  </w:style>
  <w:style w:type="paragraph" w:styleId="4">
    <w:name w:val="footer"/>
    <w:basedOn w:val="1"/>
    <w:link w:val="12"/>
    <w:qFormat/>
    <w:uiPriority w:val="0"/>
    <w:pPr>
      <w:tabs>
        <w:tab w:val="center" w:pos="4153"/>
        <w:tab w:val="right" w:pos="8306"/>
      </w:tabs>
    </w:pPr>
    <w:rPr>
      <w:sz w:val="18"/>
      <w:szCs w:val="18"/>
    </w:rPr>
  </w:style>
  <w:style w:type="paragraph" w:styleId="5">
    <w:name w:val="header"/>
    <w:basedOn w:val="1"/>
    <w:link w:val="11"/>
    <w:qFormat/>
    <w:uiPriority w:val="0"/>
    <w:pPr>
      <w:tabs>
        <w:tab w:val="center" w:pos="4153"/>
        <w:tab w:val="right" w:pos="8306"/>
      </w:tabs>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character" w:styleId="9">
    <w:name w:val="page number"/>
    <w:qFormat/>
    <w:uiPriority w:val="99"/>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字符"/>
    <w:basedOn w:val="8"/>
    <w:link w:val="5"/>
    <w:qFormat/>
    <w:uiPriority w:val="0"/>
    <w:rPr>
      <w:rFonts w:eastAsia="Arial"/>
      <w:snapToGrid w:val="0"/>
      <w:color w:val="000000"/>
      <w:sz w:val="18"/>
      <w:szCs w:val="18"/>
    </w:rPr>
  </w:style>
  <w:style w:type="character" w:customStyle="1" w:styleId="12">
    <w:name w:val="页脚 字符"/>
    <w:basedOn w:val="8"/>
    <w:link w:val="4"/>
    <w:qFormat/>
    <w:uiPriority w:val="0"/>
    <w:rPr>
      <w:rFonts w:eastAsia="Arial"/>
      <w:snapToGrid w:val="0"/>
      <w:color w:val="000000"/>
      <w:sz w:val="18"/>
      <w:szCs w:val="18"/>
    </w:rPr>
  </w:style>
  <w:style w:type="character" w:customStyle="1" w:styleId="13">
    <w:name w:val="font31"/>
    <w:basedOn w:val="8"/>
    <w:qFormat/>
    <w:uiPriority w:val="0"/>
    <w:rPr>
      <w:rFonts w:hint="eastAsia" w:ascii="仿宋" w:hAnsi="仿宋" w:eastAsia="仿宋" w:cs="仿宋"/>
      <w:color w:val="000000"/>
      <w:sz w:val="20"/>
      <w:szCs w:val="20"/>
      <w:u w:val="none"/>
    </w:rPr>
  </w:style>
  <w:style w:type="character" w:customStyle="1" w:styleId="14">
    <w:name w:val="font21"/>
    <w:basedOn w:val="8"/>
    <w:qFormat/>
    <w:uiPriority w:val="0"/>
    <w:rPr>
      <w:rFonts w:hint="eastAsia" w:ascii="微软雅黑" w:hAnsi="微软雅黑" w:eastAsia="微软雅黑" w:cs="微软雅黑"/>
      <w:color w:val="000000"/>
      <w:sz w:val="21"/>
      <w:szCs w:val="21"/>
      <w:u w:val="none"/>
    </w:rPr>
  </w:style>
  <w:style w:type="character" w:customStyle="1" w:styleId="15">
    <w:name w:val="fontstyle31"/>
    <w:basedOn w:val="8"/>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1267</Words>
  <Characters>7228</Characters>
  <Lines>60</Lines>
  <Paragraphs>16</Paragraphs>
  <TotalTime>63</TotalTime>
  <ScaleCrop>false</ScaleCrop>
  <LinksUpToDate>false</LinksUpToDate>
  <CharactersWithSpaces>8479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2023-07-11T18:59:00Z</dcterms:created>
  <dc:creator>系统管理员</dc:creator>
  <cp:lastModifiedBy>林砚.. </cp:lastModifiedBy>
  <cp:lastPrinted>2023-08-09T23:22:00Z</cp:lastPrinted>
  <dcterms:modified xsi:type="dcterms:W3CDTF">2023-10-10T00:57:25Z</dcterms:modified>
  <dc:title>温鹿政干〔2013〕23号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2023-07-03T17:36:31Z</vt:filetime>
  </property>
  <property fmtid="{D5CDD505-2E9C-101B-9397-08002B2CF9AE}" pid="4" name="KSOProductBuildVer">
    <vt:lpwstr>2052-12.1.0.15374</vt:lpwstr>
  </property>
  <property fmtid="{D5CDD505-2E9C-101B-9397-08002B2CF9AE}" pid="5" name="ICV">
    <vt:lpwstr>E0FF958AD8B9449F8601AE7CD238E9A3_13</vt:lpwstr>
  </property>
</Properties>
</file>