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156" w:beforeLines="50" w:beforeAutospacing="0" w:after="156" w:afterLines="50" w:afterAutospacing="0" w:line="360" w:lineRule="auto"/>
        <w:jc w:val="center"/>
        <w:rPr>
          <w:rFonts w:ascii="黑体" w:hAnsi="黑体" w:eastAsia="黑体" w:cs="仿宋_GB2312"/>
          <w:color w:val="auto"/>
          <w:sz w:val="44"/>
          <w:szCs w:val="44"/>
          <w:highlight w:val="none"/>
        </w:rPr>
      </w:pPr>
      <w:r>
        <w:rPr>
          <w:rFonts w:ascii="黑体" w:hAnsi="黑体" w:eastAsia="黑体" w:cs="仿宋_GB2312"/>
          <w:color w:val="auto"/>
          <w:sz w:val="44"/>
          <w:szCs w:val="44"/>
          <w:highlight w:val="none"/>
        </w:rPr>
        <w:t>瑞安市南滨江</w:t>
      </w:r>
      <w:r>
        <w:rPr>
          <w:rFonts w:hint="eastAsia" w:ascii="黑体" w:hAnsi="黑体" w:eastAsia="黑体" w:cs="仿宋_GB2312"/>
          <w:color w:val="auto"/>
          <w:sz w:val="44"/>
          <w:szCs w:val="44"/>
          <w:highlight w:val="none"/>
        </w:rPr>
        <w:t>宋家埭团块</w:t>
      </w:r>
      <w:r>
        <w:rPr>
          <w:rFonts w:ascii="黑体" w:hAnsi="黑体" w:eastAsia="黑体" w:cs="仿宋_GB2312"/>
          <w:color w:val="auto"/>
          <w:sz w:val="44"/>
          <w:szCs w:val="44"/>
          <w:highlight w:val="none"/>
        </w:rPr>
        <w:t>改造工程征收集体所有土地涉及房屋补偿方案</w:t>
      </w:r>
    </w:p>
    <w:p>
      <w:pPr>
        <w:pStyle w:val="5"/>
        <w:widowControl/>
        <w:spacing w:before="156" w:beforeLines="50" w:beforeAutospacing="0" w:after="156" w:afterLines="50" w:afterAutospacing="0" w:line="360" w:lineRule="auto"/>
        <w:jc w:val="center"/>
        <w:rPr>
          <w:rFonts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rPr>
        <w:t>（征求意见稿）</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为规范瑞安市南滨江宋家埭团块改造工程征收集体所有土地涉及房屋补偿（以下简称</w:t>
      </w:r>
      <w:r>
        <w:rPr>
          <w:rFonts w:ascii="仿宋" w:hAnsi="仿宋" w:eastAsia="仿宋" w:cs="仿宋_GB2312"/>
          <w:color w:val="auto"/>
          <w:sz w:val="32"/>
          <w:szCs w:val="32"/>
          <w:highlight w:val="none"/>
        </w:rPr>
        <w:t>“</w:t>
      </w:r>
      <w:r>
        <w:rPr>
          <w:rFonts w:hint="eastAsia" w:ascii="仿宋" w:hAnsi="仿宋" w:eastAsia="仿宋" w:cs="仿宋_GB2312"/>
          <w:color w:val="auto"/>
          <w:sz w:val="32"/>
          <w:szCs w:val="32"/>
          <w:highlight w:val="none"/>
        </w:rPr>
        <w:t>征地房屋补偿</w:t>
      </w:r>
      <w:r>
        <w:rPr>
          <w:rFonts w:ascii="仿宋" w:hAnsi="仿宋" w:eastAsia="仿宋" w:cs="仿宋_GB2312"/>
          <w:color w:val="auto"/>
          <w:sz w:val="32"/>
          <w:szCs w:val="32"/>
          <w:highlight w:val="none"/>
        </w:rPr>
        <w:t>”</w:t>
      </w:r>
      <w:r>
        <w:rPr>
          <w:rFonts w:hint="eastAsia" w:ascii="仿宋" w:hAnsi="仿宋" w:eastAsia="仿宋" w:cs="仿宋_GB2312"/>
          <w:color w:val="auto"/>
          <w:sz w:val="32"/>
          <w:szCs w:val="32"/>
          <w:highlight w:val="none"/>
        </w:rPr>
        <w:t>）工作，保障征地范围内房屋所有权人的合法权益，根据《中华人民共和国土地管理法》及参照《国有土地上房屋征收与补偿条例》等法律法规和相关政策的规定，结合本工程的实际情况，特制定本方案。</w:t>
      </w:r>
    </w:p>
    <w:p>
      <w:pPr>
        <w:pStyle w:val="5"/>
        <w:widowControl/>
        <w:spacing w:before="156" w:beforeLines="50" w:beforeAutospacing="0" w:after="156" w:afterLines="50" w:afterAutospacing="0" w:line="600" w:lineRule="exact"/>
        <w:ind w:firstLine="615"/>
        <w:rPr>
          <w:rFonts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一、补偿范围</w:t>
      </w:r>
    </w:p>
    <w:p>
      <w:pPr>
        <w:pStyle w:val="5"/>
        <w:widowControl/>
        <w:spacing w:before="156" w:beforeLines="50" w:beforeAutospacing="0" w:after="156" w:afterLines="50" w:afterAutospacing="0" w:line="600" w:lineRule="exact"/>
        <w:ind w:firstLine="615"/>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瑞安市南滨江宋家埭团块改造工程征地房屋补偿范围为：东侧为孙鳌路，南侧</w:t>
      </w:r>
      <w:r>
        <w:rPr>
          <w:rFonts w:hint="eastAsia" w:ascii="仿宋" w:hAnsi="仿宋" w:eastAsia="仿宋" w:cs="仿宋_GB2312"/>
          <w:color w:val="auto"/>
          <w:sz w:val="32"/>
          <w:szCs w:val="32"/>
          <w:highlight w:val="none"/>
          <w:lang w:val="en-US" w:eastAsia="zh-CN"/>
        </w:rPr>
        <w:t>为</w:t>
      </w:r>
      <w:r>
        <w:rPr>
          <w:rFonts w:hint="eastAsia" w:ascii="仿宋" w:hAnsi="仿宋" w:eastAsia="仿宋" w:cs="仿宋_GB2312"/>
          <w:color w:val="auto"/>
          <w:sz w:val="32"/>
          <w:szCs w:val="32"/>
          <w:highlight w:val="none"/>
        </w:rPr>
        <w:t>永宁大道，西侧为民心路，北侧为八达路（具体以征地范围为准）。</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在上述集体所有土地征收范围内涉及对集体土地上房屋所有权人（以下统称</w:t>
      </w:r>
      <w:r>
        <w:rPr>
          <w:rFonts w:ascii="仿宋" w:hAnsi="仿宋" w:eastAsia="仿宋" w:cs="仿宋_GB2312"/>
          <w:color w:val="auto"/>
          <w:sz w:val="32"/>
          <w:szCs w:val="32"/>
          <w:highlight w:val="none"/>
        </w:rPr>
        <w:t>“</w:t>
      </w:r>
      <w:r>
        <w:rPr>
          <w:rFonts w:hint="eastAsia" w:ascii="仿宋" w:hAnsi="仿宋" w:eastAsia="仿宋" w:cs="仿宋_GB2312"/>
          <w:color w:val="auto"/>
          <w:sz w:val="32"/>
          <w:szCs w:val="32"/>
          <w:highlight w:val="none"/>
        </w:rPr>
        <w:t>房屋所有权人</w:t>
      </w:r>
      <w:r>
        <w:rPr>
          <w:rFonts w:ascii="仿宋" w:hAnsi="仿宋" w:eastAsia="仿宋" w:cs="仿宋_GB2312"/>
          <w:color w:val="auto"/>
          <w:sz w:val="32"/>
          <w:szCs w:val="32"/>
          <w:highlight w:val="none"/>
        </w:rPr>
        <w:t>”</w:t>
      </w:r>
      <w:r>
        <w:rPr>
          <w:rFonts w:hint="eastAsia" w:ascii="仿宋" w:hAnsi="仿宋" w:eastAsia="仿宋" w:cs="仿宋_GB2312"/>
          <w:color w:val="auto"/>
          <w:sz w:val="32"/>
          <w:szCs w:val="32"/>
          <w:highlight w:val="none"/>
        </w:rPr>
        <w:t>）补偿的，适用本方案。</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二、补偿实施单位</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（一）征地房屋补偿部门：瑞安市自然资源和规划局</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（二）征地房屋补偿实施单位（以下统称“实施单位”）：瑞安市飞云街道办事处。</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三、签约期限</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自本征地房屋补偿安置方案发布之日起</w:t>
      </w:r>
      <w:r>
        <w:rPr>
          <w:rFonts w:hint="eastAsia" w:ascii="仿宋" w:hAnsi="仿宋" w:eastAsia="仿宋" w:cs="仿宋_GB2312"/>
          <w:color w:val="auto"/>
          <w:sz w:val="32"/>
          <w:szCs w:val="32"/>
          <w:highlight w:val="none"/>
          <w:lang w:val="en-US" w:eastAsia="zh-CN"/>
        </w:rPr>
        <w:t>4</w:t>
      </w:r>
      <w:r>
        <w:rPr>
          <w:rFonts w:hint="eastAsia" w:ascii="仿宋" w:hAnsi="仿宋" w:eastAsia="仿宋" w:cs="仿宋_GB2312"/>
          <w:color w:val="auto"/>
          <w:sz w:val="32"/>
          <w:szCs w:val="32"/>
          <w:highlight w:val="none"/>
        </w:rPr>
        <w:t>0日内。</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四、补偿安置原则</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（一）征地房屋补偿安置以房屋《不动产权证书》或《土地使用权证》《房屋所有权证》或其他合法有效证件记载的用途、面积或通过其他方式可以确定的用途、面积计算。</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（二）征地房屋房产土地权属未登记或登记不全的，根据《瑞安市人民政府办公室关于印发瑞安市征收集体土地范围内未登记房屋认定处置办法的通知》（瑞政办〔</w:t>
      </w:r>
      <w:r>
        <w:rPr>
          <w:rFonts w:ascii="仿宋" w:hAnsi="仿宋" w:eastAsia="仿宋" w:cs="仿宋_GB2312"/>
          <w:color w:val="auto"/>
          <w:sz w:val="32"/>
          <w:szCs w:val="32"/>
          <w:highlight w:val="none"/>
        </w:rPr>
        <w:t>2021</w:t>
      </w:r>
      <w:r>
        <w:rPr>
          <w:rFonts w:hint="eastAsia" w:ascii="仿宋" w:hAnsi="仿宋" w:eastAsia="仿宋" w:cs="仿宋_GB2312"/>
          <w:color w:val="auto"/>
          <w:sz w:val="32"/>
          <w:szCs w:val="32"/>
          <w:highlight w:val="none"/>
        </w:rPr>
        <w:t>〕</w:t>
      </w:r>
      <w:r>
        <w:rPr>
          <w:rFonts w:ascii="仿宋" w:hAnsi="仿宋" w:eastAsia="仿宋" w:cs="仿宋_GB2312"/>
          <w:color w:val="auto"/>
          <w:sz w:val="32"/>
          <w:szCs w:val="32"/>
          <w:highlight w:val="none"/>
        </w:rPr>
        <w:t>37</w:t>
      </w:r>
      <w:r>
        <w:rPr>
          <w:rFonts w:hint="eastAsia" w:ascii="仿宋" w:hAnsi="仿宋" w:eastAsia="仿宋" w:cs="仿宋_GB2312"/>
          <w:color w:val="auto"/>
          <w:sz w:val="32"/>
          <w:szCs w:val="32"/>
          <w:highlight w:val="none"/>
        </w:rPr>
        <w:t>号）规定认定处置。</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（三）征地范围内违法建筑和超过批准期限的临时建筑，不予补偿安置；拆除未超过批准期限的临时建筑，可以给予适当补偿，不予安置。</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（四）征地房屋宅基地范围内的附属用房和房屋前后左右庭院上搭建、改建的其他用房等，给予适当补偿，不计算安置建筑面积。</w:t>
      </w:r>
    </w:p>
    <w:p>
      <w:pPr>
        <w:spacing w:before="156" w:beforeLines="50" w:after="156" w:afterLines="50" w:line="600" w:lineRule="exact"/>
        <w:ind w:firstLine="640" w:firstLineChars="200"/>
        <w:rPr>
          <w:rFonts w:hint="eastAsia" w:ascii="仿宋" w:hAnsi="仿宋" w:eastAsia="仿宋" w:cs="仿宋_GB2312"/>
          <w:color w:val="auto"/>
          <w:kern w:val="0"/>
          <w:sz w:val="32"/>
          <w:szCs w:val="32"/>
          <w:highlight w:val="none"/>
          <w:lang w:val="en-US" w:eastAsia="zh-CN" w:bidi="ar-SA"/>
        </w:rPr>
      </w:pPr>
      <w:r>
        <w:rPr>
          <w:rFonts w:ascii="仿宋" w:hAnsi="仿宋" w:eastAsia="仿宋" w:cs="仿宋_GB2312"/>
          <w:color w:val="auto"/>
          <w:kern w:val="0"/>
          <w:sz w:val="32"/>
          <w:szCs w:val="32"/>
          <w:highlight w:val="none"/>
        </w:rPr>
        <w:t>1、</w:t>
      </w:r>
      <w:r>
        <w:rPr>
          <w:rFonts w:hint="eastAsia" w:ascii="仿宋" w:hAnsi="仿宋" w:eastAsia="仿宋" w:cs="仿宋_GB2312"/>
          <w:color w:val="auto"/>
          <w:kern w:val="0"/>
          <w:sz w:val="32"/>
          <w:szCs w:val="32"/>
          <w:highlight w:val="none"/>
        </w:rPr>
        <w:t>征地房屋宅基地用地范围包括住宅房屋（主屋）、庭院和附属用房（或其他用房）占地范围内的土</w:t>
      </w:r>
      <w:r>
        <w:rPr>
          <w:rFonts w:hint="eastAsia" w:ascii="仿宋" w:hAnsi="仿宋" w:eastAsia="仿宋" w:cs="仿宋_GB2312"/>
          <w:color w:val="auto"/>
          <w:kern w:val="0"/>
          <w:sz w:val="32"/>
          <w:szCs w:val="32"/>
          <w:highlight w:val="none"/>
          <w:lang w:val="en-US" w:eastAsia="zh-CN" w:bidi="ar-SA"/>
        </w:rPr>
        <w:t>地。位于主屋前后、左右、周边用地内所建的附属用房均属一处宅基地范围。</w:t>
      </w:r>
    </w:p>
    <w:p>
      <w:pPr>
        <w:spacing w:before="156" w:beforeLines="50" w:after="156" w:afterLines="50" w:line="600" w:lineRule="exact"/>
        <w:ind w:firstLine="640" w:firstLineChars="200"/>
        <w:rPr>
          <w:rFonts w:hint="eastAsia" w:ascii="仿宋" w:hAnsi="仿宋" w:eastAsia="仿宋" w:cs="仿宋_GB2312"/>
          <w:color w:val="auto"/>
          <w:kern w:val="0"/>
          <w:sz w:val="32"/>
          <w:szCs w:val="32"/>
          <w:highlight w:val="none"/>
          <w:lang w:val="en-US" w:eastAsia="zh-CN" w:bidi="ar-SA"/>
        </w:rPr>
      </w:pPr>
      <w:r>
        <w:rPr>
          <w:rFonts w:hint="eastAsia" w:ascii="仿宋" w:hAnsi="仿宋" w:eastAsia="仿宋" w:cs="仿宋_GB2312"/>
          <w:color w:val="auto"/>
          <w:kern w:val="0"/>
          <w:sz w:val="32"/>
          <w:szCs w:val="32"/>
          <w:highlight w:val="none"/>
          <w:lang w:val="en-US" w:eastAsia="zh-CN" w:bidi="ar-SA"/>
        </w:rPr>
        <w:t>2、征地房屋所有权人家庭成员以自然产权取得同一处宅基地内两本及两本以上《不动产权证》或《土地使用权证》、《房屋所有权证》的，作为一处宅基地处理。</w:t>
      </w:r>
    </w:p>
    <w:p>
      <w:pPr>
        <w:spacing w:before="156" w:beforeLines="50" w:after="156" w:afterLines="50" w:line="600" w:lineRule="exact"/>
        <w:ind w:firstLine="640" w:firstLineChars="200"/>
        <w:rPr>
          <w:rFonts w:ascii="仿宋" w:hAnsi="仿宋" w:eastAsia="仿宋" w:cs="仿宋_GB2312"/>
          <w:color w:val="auto"/>
          <w:kern w:val="0"/>
          <w:sz w:val="32"/>
          <w:szCs w:val="32"/>
          <w:highlight w:val="none"/>
        </w:rPr>
      </w:pPr>
      <w:r>
        <w:rPr>
          <w:rFonts w:ascii="仿宋" w:hAnsi="仿宋" w:eastAsia="仿宋" w:cs="仿宋_GB2312"/>
          <w:color w:val="auto"/>
          <w:kern w:val="0"/>
          <w:sz w:val="32"/>
          <w:szCs w:val="32"/>
          <w:highlight w:val="none"/>
        </w:rPr>
        <w:t>3、在一处宅基地内，根据已取得《不动产权证》、《土地使用权证》、《房屋所有权证》及宅基地批文，结合农村建房习俗和具体房屋建筑占地长度、宽度、结构等因素，确定主屋自然间间数。</w:t>
      </w:r>
    </w:p>
    <w:p>
      <w:pPr>
        <w:spacing w:before="156" w:beforeLines="50" w:after="156" w:afterLines="50" w:line="600" w:lineRule="exact"/>
        <w:ind w:firstLine="640" w:firstLineChars="200"/>
        <w:rPr>
          <w:rFonts w:ascii="仿宋" w:hAnsi="仿宋" w:eastAsia="仿宋" w:cs="仿宋_GB2312"/>
          <w:color w:val="auto"/>
          <w:kern w:val="0"/>
          <w:sz w:val="32"/>
          <w:szCs w:val="32"/>
          <w:highlight w:val="none"/>
        </w:rPr>
      </w:pPr>
      <w:r>
        <w:rPr>
          <w:rFonts w:ascii="仿宋" w:hAnsi="仿宋" w:eastAsia="仿宋" w:cs="仿宋_GB2312"/>
          <w:color w:val="auto"/>
          <w:kern w:val="0"/>
          <w:sz w:val="32"/>
          <w:szCs w:val="32"/>
          <w:highlight w:val="none"/>
        </w:rPr>
        <w:t>4、属于以下情形的房屋为附属用房：</w:t>
      </w:r>
    </w:p>
    <w:p>
      <w:pPr>
        <w:spacing w:before="156" w:beforeLines="50" w:after="156" w:afterLines="50" w:line="600" w:lineRule="exact"/>
        <w:ind w:firstLine="640" w:firstLineChars="200"/>
        <w:rPr>
          <w:rFonts w:ascii="仿宋" w:hAnsi="仿宋" w:eastAsia="仿宋" w:cs="仿宋_GB2312"/>
          <w:color w:val="auto"/>
          <w:kern w:val="0"/>
          <w:sz w:val="32"/>
          <w:szCs w:val="32"/>
          <w:highlight w:val="none"/>
        </w:rPr>
      </w:pPr>
      <w:r>
        <w:rPr>
          <w:rFonts w:hint="eastAsia" w:ascii="仿宋" w:hAnsi="仿宋" w:eastAsia="仿宋" w:cs="仿宋_GB2312"/>
          <w:color w:val="auto"/>
          <w:kern w:val="0"/>
          <w:sz w:val="32"/>
          <w:szCs w:val="32"/>
          <w:highlight w:val="none"/>
        </w:rPr>
        <w:t>（</w:t>
      </w:r>
      <w:r>
        <w:rPr>
          <w:rFonts w:ascii="仿宋" w:hAnsi="仿宋" w:eastAsia="仿宋" w:cs="仿宋_GB2312"/>
          <w:color w:val="auto"/>
          <w:kern w:val="0"/>
          <w:sz w:val="32"/>
          <w:szCs w:val="32"/>
          <w:highlight w:val="none"/>
        </w:rPr>
        <w:t>1）除主屋外的厨房、柴房、卫生间、禽畜圈舍、农具房等附属房屋。</w:t>
      </w:r>
    </w:p>
    <w:p>
      <w:pPr>
        <w:spacing w:before="156" w:beforeLines="50" w:after="156" w:afterLines="50" w:line="600" w:lineRule="exact"/>
        <w:ind w:firstLine="640" w:firstLineChars="200"/>
        <w:rPr>
          <w:rFonts w:ascii="仿宋" w:hAnsi="仿宋" w:eastAsia="仿宋" w:cs="仿宋_GB2312"/>
          <w:color w:val="auto"/>
          <w:kern w:val="0"/>
          <w:sz w:val="32"/>
          <w:szCs w:val="32"/>
          <w:highlight w:val="none"/>
        </w:rPr>
      </w:pPr>
      <w:r>
        <w:rPr>
          <w:rFonts w:hint="eastAsia" w:ascii="仿宋" w:hAnsi="仿宋" w:eastAsia="仿宋" w:cs="仿宋_GB2312"/>
          <w:color w:val="auto"/>
          <w:kern w:val="0"/>
          <w:sz w:val="32"/>
          <w:szCs w:val="32"/>
          <w:highlight w:val="none"/>
        </w:rPr>
        <w:t>（</w:t>
      </w:r>
      <w:r>
        <w:rPr>
          <w:rFonts w:ascii="仿宋" w:hAnsi="仿宋" w:eastAsia="仿宋" w:cs="仿宋_GB2312"/>
          <w:color w:val="auto"/>
          <w:kern w:val="0"/>
          <w:sz w:val="32"/>
          <w:szCs w:val="32"/>
          <w:highlight w:val="none"/>
        </w:rPr>
        <w:t>2）将本条第（1）款中房屋（或用地）自行改变使用功能，以自然产权登记为住宅的。</w:t>
      </w:r>
    </w:p>
    <w:p>
      <w:pPr>
        <w:spacing w:before="156" w:beforeLines="50" w:after="156" w:afterLines="50" w:line="600" w:lineRule="exact"/>
        <w:ind w:firstLine="640" w:firstLineChars="200"/>
        <w:rPr>
          <w:rFonts w:ascii="仿宋" w:hAnsi="仿宋" w:eastAsia="仿宋" w:cs="仿宋_GB2312"/>
          <w:color w:val="auto"/>
          <w:kern w:val="0"/>
          <w:sz w:val="32"/>
          <w:szCs w:val="32"/>
          <w:highlight w:val="none"/>
        </w:rPr>
      </w:pPr>
      <w:r>
        <w:rPr>
          <w:rFonts w:hint="eastAsia" w:ascii="仿宋" w:hAnsi="仿宋" w:eastAsia="仿宋" w:cs="仿宋_GB2312"/>
          <w:color w:val="auto"/>
          <w:kern w:val="0"/>
          <w:sz w:val="32"/>
          <w:szCs w:val="32"/>
          <w:highlight w:val="none"/>
        </w:rPr>
        <w:t>（</w:t>
      </w:r>
      <w:r>
        <w:rPr>
          <w:rFonts w:ascii="仿宋" w:hAnsi="仿宋" w:eastAsia="仿宋" w:cs="仿宋_GB2312"/>
          <w:color w:val="auto"/>
          <w:kern w:val="0"/>
          <w:sz w:val="32"/>
          <w:szCs w:val="32"/>
          <w:highlight w:val="none"/>
        </w:rPr>
        <w:t>3）征地房屋属于原村集体组织划分的“三基”（柴垛基、牲畜基、茅厕基）用地上的房屋，以自然产权登记为住宅的，属于附属用房。</w:t>
      </w:r>
    </w:p>
    <w:p>
      <w:pPr>
        <w:spacing w:before="156" w:beforeLines="50" w:after="156" w:afterLines="50" w:line="600" w:lineRule="exact"/>
        <w:ind w:firstLine="640" w:firstLineChars="200"/>
        <w:rPr>
          <w:rFonts w:ascii="仿宋" w:hAnsi="仿宋" w:eastAsia="仿宋" w:cs="仿宋_GB2312"/>
          <w:color w:val="auto"/>
          <w:kern w:val="0"/>
          <w:sz w:val="32"/>
          <w:szCs w:val="32"/>
          <w:highlight w:val="none"/>
        </w:rPr>
      </w:pPr>
      <w:r>
        <w:rPr>
          <w:rFonts w:hint="eastAsia" w:ascii="仿宋" w:hAnsi="仿宋" w:eastAsia="仿宋" w:cs="仿宋_GB2312"/>
          <w:color w:val="auto"/>
          <w:kern w:val="0"/>
          <w:sz w:val="32"/>
          <w:szCs w:val="32"/>
          <w:highlight w:val="none"/>
        </w:rPr>
        <w:t>（</w:t>
      </w:r>
      <w:r>
        <w:rPr>
          <w:rFonts w:ascii="仿宋" w:hAnsi="仿宋" w:eastAsia="仿宋" w:cs="仿宋_GB2312"/>
          <w:color w:val="auto"/>
          <w:kern w:val="0"/>
          <w:sz w:val="32"/>
          <w:szCs w:val="32"/>
          <w:highlight w:val="none"/>
        </w:rPr>
        <w:t>4）其它属于附属用房的情形。</w:t>
      </w:r>
    </w:p>
    <w:p>
      <w:pPr>
        <w:spacing w:before="156" w:beforeLines="50" w:after="156" w:afterLines="50" w:line="600" w:lineRule="exact"/>
        <w:ind w:firstLine="640" w:firstLineChars="200"/>
        <w:rPr>
          <w:rFonts w:hint="eastAsia" w:ascii="仿宋" w:hAnsi="仿宋" w:eastAsia="仿宋" w:cs="仿宋_GB2312"/>
          <w:color w:val="auto"/>
          <w:kern w:val="0"/>
          <w:sz w:val="32"/>
          <w:szCs w:val="32"/>
          <w:highlight w:val="none"/>
          <w:lang w:eastAsia="zh-CN"/>
        </w:rPr>
      </w:pPr>
      <w:r>
        <w:rPr>
          <w:rFonts w:ascii="仿宋" w:hAnsi="仿宋" w:eastAsia="仿宋" w:cs="仿宋_GB2312"/>
          <w:color w:val="auto"/>
          <w:kern w:val="0"/>
          <w:sz w:val="32"/>
          <w:szCs w:val="32"/>
          <w:highlight w:val="none"/>
        </w:rPr>
        <w:t>5、经审查确定为附属用房的，包括已办理《不动产权证》、《土地使用证》、《房屋所有权证》或经认定视为合法建筑的，除法律另有规定外，均不计入自然间间数</w:t>
      </w:r>
      <w:r>
        <w:rPr>
          <w:rFonts w:hint="eastAsia" w:ascii="仿宋" w:hAnsi="仿宋" w:eastAsia="仿宋" w:cs="仿宋_GB2312"/>
          <w:color w:val="auto"/>
          <w:kern w:val="0"/>
          <w:sz w:val="32"/>
          <w:szCs w:val="32"/>
          <w:highlight w:val="none"/>
        </w:rPr>
        <w:t>，但</w:t>
      </w:r>
      <w:r>
        <w:rPr>
          <w:rFonts w:hint="eastAsia" w:ascii="仿宋" w:hAnsi="仿宋" w:eastAsia="仿宋" w:cs="Times New Roman"/>
          <w:color w:val="auto"/>
          <w:sz w:val="32"/>
          <w:szCs w:val="32"/>
          <w:highlight w:val="none"/>
        </w:rPr>
        <w:t>给予重置成新价补偿</w:t>
      </w:r>
      <w:r>
        <w:rPr>
          <w:rFonts w:hint="eastAsia" w:ascii="仿宋" w:hAnsi="仿宋" w:eastAsia="仿宋" w:cs="Times New Roman"/>
          <w:color w:val="auto"/>
          <w:sz w:val="32"/>
          <w:szCs w:val="32"/>
          <w:highlight w:val="none"/>
          <w:lang w:eastAsia="zh-CN"/>
        </w:rPr>
        <w:t>。</w:t>
      </w:r>
    </w:p>
    <w:p>
      <w:pPr>
        <w:spacing w:before="156" w:beforeLines="50" w:after="156" w:afterLines="50" w:line="600" w:lineRule="exact"/>
        <w:ind w:firstLine="640" w:firstLineChars="200"/>
        <w:rPr>
          <w:rFonts w:ascii="仿宋" w:hAnsi="仿宋" w:eastAsia="仿宋" w:cs="仿宋_GB2312"/>
          <w:color w:val="auto"/>
          <w:kern w:val="0"/>
          <w:sz w:val="32"/>
          <w:szCs w:val="32"/>
          <w:highlight w:val="none"/>
        </w:rPr>
      </w:pPr>
      <w:r>
        <w:rPr>
          <w:rFonts w:hint="eastAsia" w:ascii="仿宋" w:hAnsi="仿宋" w:eastAsia="仿宋" w:cs="仿宋_GB2312"/>
          <w:color w:val="auto"/>
          <w:kern w:val="0"/>
          <w:sz w:val="32"/>
          <w:szCs w:val="32"/>
          <w:highlight w:val="none"/>
        </w:rPr>
        <w:t>（五）位于孙鳌公路（宋家埭段）的临街底层房屋每一自然间（或公寓房）底层进深长度</w:t>
      </w:r>
      <w:r>
        <w:rPr>
          <w:rFonts w:ascii="仿宋" w:hAnsi="仿宋" w:eastAsia="仿宋" w:cs="仿宋_GB2312"/>
          <w:color w:val="auto"/>
          <w:kern w:val="0"/>
          <w:sz w:val="32"/>
          <w:szCs w:val="32"/>
          <w:highlight w:val="none"/>
        </w:rPr>
        <w:t>6米以上的可按6米进深（不足6米按实际计算）和实际房屋宽度认定商业部分建筑面积，商业安置建筑面积按认定商业部分建筑面积1:1计算。</w:t>
      </w:r>
    </w:p>
    <w:p>
      <w:pPr>
        <w:spacing w:before="156" w:beforeLines="50" w:after="156" w:afterLines="50" w:line="600" w:lineRule="exact"/>
        <w:ind w:firstLine="640" w:firstLineChars="200"/>
        <w:rPr>
          <w:rFonts w:ascii="仿宋" w:hAnsi="仿宋" w:eastAsia="仿宋" w:cs="仿宋_GB2312"/>
          <w:color w:val="auto"/>
          <w:kern w:val="0"/>
          <w:sz w:val="32"/>
          <w:szCs w:val="32"/>
          <w:highlight w:val="none"/>
        </w:rPr>
      </w:pPr>
      <w:r>
        <w:rPr>
          <w:rFonts w:hint="eastAsia" w:ascii="仿宋" w:hAnsi="仿宋" w:eastAsia="仿宋" w:cs="仿宋_GB2312"/>
          <w:color w:val="auto"/>
          <w:kern w:val="0"/>
          <w:sz w:val="32"/>
          <w:szCs w:val="32"/>
          <w:highlight w:val="none"/>
        </w:rPr>
        <w:t>临街底层房屋是指正面门面朝向孙鳌公路（宋家埭段）且中间无间隔并直接连接道路的底层房屋，但不包括门台内底层房屋及中堂、走道、厨房、卫生间、地下室等其他类型房屋。</w:t>
      </w:r>
    </w:p>
    <w:p>
      <w:pPr>
        <w:spacing w:before="156" w:beforeLines="50" w:after="156" w:afterLines="50" w:line="600" w:lineRule="exact"/>
        <w:ind w:firstLine="640" w:firstLineChars="200"/>
        <w:rPr>
          <w:rFonts w:hint="eastAsia" w:ascii="仿宋" w:hAnsi="仿宋" w:eastAsia="仿宋" w:cs="仿宋_GB2312"/>
          <w:color w:val="auto"/>
          <w:kern w:val="0"/>
          <w:sz w:val="32"/>
          <w:szCs w:val="32"/>
          <w:highlight w:val="none"/>
        </w:rPr>
      </w:pPr>
      <w:r>
        <w:rPr>
          <w:rFonts w:hint="eastAsia" w:ascii="仿宋" w:hAnsi="仿宋" w:eastAsia="仿宋" w:cs="仿宋_GB2312"/>
          <w:color w:val="auto"/>
          <w:kern w:val="0"/>
          <w:sz w:val="32"/>
          <w:szCs w:val="32"/>
          <w:highlight w:val="none"/>
        </w:rPr>
        <w:t>征地房屋底层为商业的，住宅安置建筑面积为该征地房屋按</w:t>
      </w:r>
      <w:r>
        <w:rPr>
          <w:rFonts w:hint="eastAsia" w:ascii="仿宋" w:hAnsi="仿宋" w:eastAsia="仿宋" w:cs="仿宋_GB2312"/>
          <w:color w:val="auto"/>
          <w:kern w:val="0"/>
          <w:sz w:val="32"/>
          <w:szCs w:val="32"/>
          <w:highlight w:val="none"/>
          <w:lang w:eastAsia="zh-CN"/>
        </w:rPr>
        <w:t>本方案</w:t>
      </w:r>
      <w:r>
        <w:rPr>
          <w:rFonts w:hint="eastAsia" w:ascii="仿宋" w:hAnsi="仿宋" w:eastAsia="仿宋" w:cs="仿宋_GB2312"/>
          <w:color w:val="auto"/>
          <w:kern w:val="0"/>
          <w:sz w:val="32"/>
          <w:szCs w:val="32"/>
          <w:highlight w:val="none"/>
        </w:rPr>
        <w:t>计算安置建筑面积减去被征地商业用房安置建筑面积。</w:t>
      </w:r>
    </w:p>
    <w:p>
      <w:pPr>
        <w:spacing w:before="156" w:beforeLines="50" w:after="156" w:afterLines="50" w:line="600" w:lineRule="exact"/>
        <w:ind w:firstLine="640" w:firstLineChars="200"/>
        <w:rPr>
          <w:rFonts w:ascii="仿宋" w:hAnsi="仿宋" w:eastAsia="仿宋" w:cs="仿宋_GB2312"/>
          <w:color w:val="auto"/>
          <w:sz w:val="32"/>
          <w:szCs w:val="32"/>
          <w:highlight w:val="none"/>
        </w:rPr>
      </w:pPr>
      <w:r>
        <w:rPr>
          <w:rFonts w:hint="eastAsia" w:ascii="仿宋" w:hAnsi="仿宋" w:eastAsia="仿宋" w:cs="仿宋_GB2312"/>
          <w:color w:val="auto"/>
          <w:kern w:val="0"/>
          <w:sz w:val="32"/>
          <w:szCs w:val="32"/>
          <w:highlight w:val="none"/>
        </w:rPr>
        <w:t>（六）在《瑞安市南滨江宋家埭团块改造工程征收集体所有土地涉及房屋补偿方案公告</w:t>
      </w:r>
      <w:r>
        <w:rPr>
          <w:rFonts w:hint="eastAsia" w:ascii="仿宋" w:hAnsi="仿宋" w:eastAsia="仿宋" w:cs="仿宋_GB2312"/>
          <w:color w:val="auto"/>
          <w:sz w:val="32"/>
          <w:szCs w:val="32"/>
          <w:highlight w:val="none"/>
        </w:rPr>
        <w:t>》后，进行装修、扩建、改建和改变房屋用途等的，不当增加部分不予补偿，不作为安置依据。</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五、征地房屋补偿规定</w:t>
      </w:r>
    </w:p>
    <w:p>
      <w:pPr>
        <w:pStyle w:val="5"/>
        <w:widowControl/>
        <w:spacing w:before="156" w:beforeLines="50" w:beforeAutospacing="0" w:after="156" w:afterLines="50" w:afterAutospacing="0" w:line="600" w:lineRule="exact"/>
        <w:ind w:firstLine="643" w:firstLineChars="200"/>
        <w:jc w:val="both"/>
        <w:rPr>
          <w:rFonts w:ascii="仿宋" w:hAnsi="仿宋" w:eastAsia="仿宋" w:cs="仿宋_GB2312"/>
          <w:color w:val="auto"/>
          <w:sz w:val="32"/>
          <w:szCs w:val="32"/>
          <w:highlight w:val="none"/>
        </w:rPr>
      </w:pPr>
      <w:r>
        <w:rPr>
          <w:rFonts w:hint="eastAsia" w:ascii="仿宋" w:hAnsi="仿宋" w:eastAsia="仿宋" w:cs="仿宋_GB2312"/>
          <w:b/>
          <w:bCs/>
          <w:color w:val="auto"/>
          <w:sz w:val="32"/>
          <w:szCs w:val="32"/>
          <w:highlight w:val="none"/>
        </w:rPr>
        <w:t>（一）征地房屋补偿费</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补偿费包括房屋重置成新价、搬迁费（回迁费）、临时过渡安置费及其他补偿费等，具体标准如下：</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1、房屋重置成新价：由房地产评估机构根据被征地房屋的等级、结构、建成年份、装修情况、合法产权（或认定）建筑面积等情况评估确定。</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经认定给予适当补偿的征地房屋，其重置成新价按评估价的</w:t>
      </w:r>
      <w:r>
        <w:rPr>
          <w:rFonts w:ascii="仿宋" w:hAnsi="仿宋" w:eastAsia="仿宋" w:cs="仿宋_GB2312"/>
          <w:color w:val="auto"/>
          <w:sz w:val="32"/>
          <w:szCs w:val="32"/>
          <w:highlight w:val="none"/>
        </w:rPr>
        <w:t>70%计算，给予适当补偿。</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ascii="仿宋" w:hAnsi="仿宋" w:eastAsia="仿宋" w:cstheme="minorBidi"/>
          <w:color w:val="auto"/>
          <w:kern w:val="2"/>
          <w:sz w:val="28"/>
          <w:szCs w:val="28"/>
          <w:highlight w:val="none"/>
        </w:rPr>
        <w:t>2、</w:t>
      </w:r>
      <w:r>
        <w:rPr>
          <w:rFonts w:ascii="仿宋" w:hAnsi="仿宋" w:eastAsia="仿宋" w:cs="仿宋_GB2312"/>
          <w:color w:val="auto"/>
          <w:sz w:val="32"/>
          <w:szCs w:val="32"/>
          <w:highlight w:val="none"/>
        </w:rPr>
        <w:t>搬迁费（回迁费）：按征地房屋合法产权(或认定)建筑面积15元/㎡标准计算，</w:t>
      </w:r>
      <w:r>
        <w:rPr>
          <w:rFonts w:hint="eastAsia" w:ascii="仿宋" w:hAnsi="仿宋" w:eastAsia="仿宋" w:cs="仿宋_GB2312"/>
          <w:color w:val="auto"/>
          <w:sz w:val="32"/>
          <w:szCs w:val="32"/>
          <w:highlight w:val="none"/>
        </w:rPr>
        <w:t>征地房屋建筑面积不足</w:t>
      </w:r>
      <w:r>
        <w:rPr>
          <w:rFonts w:ascii="仿宋" w:hAnsi="仿宋" w:eastAsia="仿宋" w:cs="仿宋_GB2312"/>
          <w:color w:val="auto"/>
          <w:sz w:val="32"/>
          <w:szCs w:val="32"/>
          <w:highlight w:val="none"/>
        </w:rPr>
        <w:t>100㎡的按100㎡计算。</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经认定给予适当补偿的征地房屋，其搬迁费按上述标准的</w:t>
      </w:r>
      <w:r>
        <w:rPr>
          <w:rFonts w:ascii="仿宋" w:hAnsi="仿宋" w:eastAsia="仿宋" w:cs="仿宋_GB2312"/>
          <w:color w:val="auto"/>
          <w:sz w:val="32"/>
          <w:szCs w:val="32"/>
          <w:highlight w:val="none"/>
        </w:rPr>
        <w:t>70%计算。</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选择产权调换安置的，按上述标准支付回迁费。</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3、临时过渡安置费：房屋所有权人自行解决过渡用房的，按征地房屋合法产权(或认定)建筑面积，住宅建筑面积每月15元/㎡，商业（或认定为商业）用房临时过渡安置费按实评估。</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经认定给予适当补偿的征地房屋，其临时过渡安置费按上述标准的</w:t>
      </w:r>
      <w:r>
        <w:rPr>
          <w:rFonts w:ascii="仿宋" w:hAnsi="仿宋" w:eastAsia="仿宋" w:cs="仿宋_GB2312"/>
          <w:color w:val="auto"/>
          <w:sz w:val="32"/>
          <w:szCs w:val="32"/>
          <w:highlight w:val="none"/>
        </w:rPr>
        <w:t>70%计算。</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实施单位应当自搬迁腾空验收合格之月起按补偿协议约定的临时过渡安置费支付方式支付给房屋所有权人。</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w:t>
      </w:r>
      <w:r>
        <w:rPr>
          <w:rFonts w:ascii="仿宋" w:hAnsi="仿宋" w:eastAsia="仿宋" w:cs="仿宋_GB2312"/>
          <w:color w:val="auto"/>
          <w:sz w:val="32"/>
          <w:szCs w:val="32"/>
          <w:highlight w:val="none"/>
        </w:rPr>
        <w:t>1）房屋所有权人选择货币补偿的，临时过渡安置费按一次性6个月计算支付。</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w:t>
      </w:r>
      <w:r>
        <w:rPr>
          <w:rFonts w:ascii="仿宋" w:hAnsi="仿宋" w:eastAsia="仿宋" w:cs="仿宋_GB2312"/>
          <w:color w:val="auto"/>
          <w:sz w:val="32"/>
          <w:szCs w:val="32"/>
          <w:highlight w:val="none"/>
        </w:rPr>
        <w:t>2）房屋所有权人选择产权调换安置的，按搬迁腾空验收合格之月起至安置房交付之月后6个月止计算支付，具体支付方式在补偿协议中约定。</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w:t>
      </w:r>
      <w:r>
        <w:rPr>
          <w:rFonts w:ascii="仿宋" w:hAnsi="仿宋" w:eastAsia="仿宋" w:cs="仿宋_GB2312"/>
          <w:color w:val="auto"/>
          <w:sz w:val="32"/>
          <w:szCs w:val="32"/>
          <w:highlight w:val="none"/>
        </w:rPr>
        <w:t>3）房屋所有权人选择产权调换安置的，过渡期限为房屋搬迁腾空验收合格之月起36个月，超过过渡期限实施单位未提供安置房源的，应当自逾期之月起按最新标准的两倍支付临时过渡安置费</w:t>
      </w:r>
      <w:r>
        <w:rPr>
          <w:rFonts w:hint="eastAsia" w:ascii="仿宋" w:hAnsi="仿宋" w:eastAsia="仿宋" w:cs="仿宋_GB2312"/>
          <w:color w:val="auto"/>
          <w:sz w:val="32"/>
          <w:szCs w:val="32"/>
          <w:highlight w:val="none"/>
        </w:rPr>
        <w:t>，</w:t>
      </w:r>
      <w:r>
        <w:rPr>
          <w:rFonts w:ascii="仿宋" w:hAnsi="仿宋" w:eastAsia="仿宋" w:cs="仿宋_GB2312"/>
          <w:color w:val="auto"/>
          <w:sz w:val="32"/>
          <w:szCs w:val="32"/>
          <w:highlight w:val="none"/>
        </w:rPr>
        <w:t>未超过36</w:t>
      </w:r>
      <w:r>
        <w:rPr>
          <w:rFonts w:hint="eastAsia" w:ascii="仿宋" w:hAnsi="仿宋" w:eastAsia="仿宋" w:cs="仿宋_GB2312"/>
          <w:color w:val="auto"/>
          <w:sz w:val="32"/>
          <w:szCs w:val="32"/>
          <w:highlight w:val="none"/>
        </w:rPr>
        <w:t>个月的，按实际临时过渡时间计算。</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w:t>
      </w:r>
      <w:r>
        <w:rPr>
          <w:rFonts w:ascii="仿宋" w:hAnsi="仿宋" w:eastAsia="仿宋" w:cs="仿宋_GB2312"/>
          <w:color w:val="auto"/>
          <w:sz w:val="32"/>
          <w:szCs w:val="32"/>
          <w:highlight w:val="none"/>
        </w:rPr>
        <w:t>4）安置房建成交付时，经实施单位通知，房屋所有权人仍未在规定时间内办理安置房交付结算手续的，停止计发临时过渡安置费。</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4、其他补偿费标准：</w:t>
      </w:r>
    </w:p>
    <w:p>
      <w:pPr>
        <w:pStyle w:val="5"/>
        <w:widowControl/>
        <w:spacing w:before="156" w:beforeLines="50" w:beforeAutospacing="0" w:after="156" w:afterLines="50" w:afterAutospacing="0" w:line="600" w:lineRule="exact"/>
        <w:ind w:firstLine="615"/>
        <w:jc w:val="both"/>
        <w:rPr>
          <w:rStyle w:val="8"/>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征地房屋其他附属设施的补偿费按下列标准支付：</w:t>
      </w:r>
    </w:p>
    <w:tbl>
      <w:tblPr>
        <w:tblStyle w:val="6"/>
        <w:tblW w:w="9365" w:type="dxa"/>
        <w:tblInd w:w="-106" w:type="dxa"/>
        <w:tblLayout w:type="fixed"/>
        <w:tblCellMar>
          <w:top w:w="0" w:type="dxa"/>
          <w:left w:w="108" w:type="dxa"/>
          <w:bottom w:w="0" w:type="dxa"/>
          <w:right w:w="108" w:type="dxa"/>
        </w:tblCellMar>
      </w:tblPr>
      <w:tblGrid>
        <w:gridCol w:w="2105"/>
        <w:gridCol w:w="1725"/>
        <w:gridCol w:w="1785"/>
        <w:gridCol w:w="3750"/>
      </w:tblGrid>
      <w:tr>
        <w:tblPrEx>
          <w:tblCellMar>
            <w:top w:w="0" w:type="dxa"/>
            <w:left w:w="108" w:type="dxa"/>
            <w:bottom w:w="0" w:type="dxa"/>
            <w:right w:w="108" w:type="dxa"/>
          </w:tblCellMar>
        </w:tblPrEx>
        <w:trPr>
          <w:trHeight w:val="635" w:hRule="atLeast"/>
        </w:trPr>
        <w:tc>
          <w:tcPr>
            <w:tcW w:w="210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名称</w:t>
            </w:r>
          </w:p>
        </w:tc>
        <w:tc>
          <w:tcPr>
            <w:tcW w:w="1725" w:type="dxa"/>
            <w:tcBorders>
              <w:top w:val="single" w:color="auto" w:sz="4" w:space="0"/>
              <w:left w:val="nil"/>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计量（户）</w:t>
            </w:r>
          </w:p>
        </w:tc>
        <w:tc>
          <w:tcPr>
            <w:tcW w:w="1785" w:type="dxa"/>
            <w:tcBorders>
              <w:top w:val="single" w:color="auto" w:sz="4" w:space="0"/>
              <w:left w:val="nil"/>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价格（元）</w:t>
            </w:r>
          </w:p>
        </w:tc>
        <w:tc>
          <w:tcPr>
            <w:tcW w:w="3750" w:type="dxa"/>
            <w:tcBorders>
              <w:top w:val="single" w:color="auto" w:sz="4" w:space="0"/>
              <w:left w:val="nil"/>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备注说明</w:t>
            </w:r>
          </w:p>
        </w:tc>
      </w:tr>
      <w:tr>
        <w:tblPrEx>
          <w:tblCellMar>
            <w:top w:w="0" w:type="dxa"/>
            <w:left w:w="108" w:type="dxa"/>
            <w:bottom w:w="0" w:type="dxa"/>
            <w:right w:w="108" w:type="dxa"/>
          </w:tblCellMar>
        </w:tblPrEx>
        <w:trPr>
          <w:cantSplit/>
          <w:trHeight w:val="664" w:hRule="atLeast"/>
        </w:trPr>
        <w:tc>
          <w:tcPr>
            <w:tcW w:w="210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电话</w:t>
            </w:r>
          </w:p>
        </w:tc>
        <w:tc>
          <w:tcPr>
            <w:tcW w:w="1725" w:type="dxa"/>
            <w:tcBorders>
              <w:top w:val="single" w:color="auto" w:sz="4" w:space="0"/>
              <w:left w:val="nil"/>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1部</w:t>
            </w:r>
          </w:p>
        </w:tc>
        <w:tc>
          <w:tcPr>
            <w:tcW w:w="1785" w:type="dxa"/>
            <w:tcBorders>
              <w:top w:val="single" w:color="auto" w:sz="4" w:space="0"/>
              <w:left w:val="nil"/>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158</w:t>
            </w:r>
          </w:p>
        </w:tc>
        <w:tc>
          <w:tcPr>
            <w:tcW w:w="3750" w:type="dxa"/>
            <w:vMerge w:val="restart"/>
            <w:tcBorders>
              <w:top w:val="nil"/>
              <w:left w:val="nil"/>
              <w:bottom w:val="single" w:color="auto" w:sz="4" w:space="0"/>
              <w:right w:val="single" w:color="auto" w:sz="4" w:space="0"/>
            </w:tcBorders>
            <w:vAlign w:val="center"/>
          </w:tcPr>
          <w:p>
            <w:pPr>
              <w:spacing w:before="156" w:beforeLines="50" w:after="156" w:afterLines="50" w:line="600" w:lineRule="exact"/>
              <w:ind w:firstLine="640" w:firstLineChars="2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一次性支付补助费，由房屋所有权人自行负责迁移。</w:t>
            </w:r>
          </w:p>
        </w:tc>
      </w:tr>
      <w:tr>
        <w:tblPrEx>
          <w:tblCellMar>
            <w:top w:w="0" w:type="dxa"/>
            <w:left w:w="108" w:type="dxa"/>
            <w:bottom w:w="0" w:type="dxa"/>
            <w:right w:w="108" w:type="dxa"/>
          </w:tblCellMar>
        </w:tblPrEx>
        <w:trPr>
          <w:cantSplit/>
          <w:trHeight w:val="465" w:hRule="atLeast"/>
        </w:trPr>
        <w:tc>
          <w:tcPr>
            <w:tcW w:w="210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有线电视</w:t>
            </w:r>
          </w:p>
        </w:tc>
        <w:tc>
          <w:tcPr>
            <w:tcW w:w="1725" w:type="dxa"/>
            <w:tcBorders>
              <w:top w:val="single" w:color="auto" w:sz="4" w:space="0"/>
              <w:left w:val="nil"/>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1门</w:t>
            </w:r>
          </w:p>
        </w:tc>
        <w:tc>
          <w:tcPr>
            <w:tcW w:w="1785" w:type="dxa"/>
            <w:tcBorders>
              <w:top w:val="single" w:color="auto" w:sz="4" w:space="0"/>
              <w:left w:val="nil"/>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80</w:t>
            </w:r>
          </w:p>
        </w:tc>
        <w:tc>
          <w:tcPr>
            <w:tcW w:w="3750" w:type="dxa"/>
            <w:vMerge w:val="continue"/>
            <w:tcBorders>
              <w:top w:val="nil"/>
              <w:left w:val="nil"/>
              <w:bottom w:val="single" w:color="auto" w:sz="4" w:space="0"/>
              <w:right w:val="single" w:color="auto" w:sz="4" w:space="0"/>
            </w:tcBorders>
            <w:vAlign w:val="center"/>
          </w:tcPr>
          <w:p>
            <w:pPr>
              <w:keepNext/>
              <w:keepLines/>
              <w:spacing w:before="156" w:beforeLines="50" w:after="156" w:afterLines="50" w:line="600" w:lineRule="exact"/>
              <w:ind w:firstLine="640" w:firstLineChars="200"/>
              <w:rPr>
                <w:rFonts w:ascii="仿宋" w:hAnsi="仿宋" w:eastAsia="仿宋" w:cs="仿宋_GB2312"/>
                <w:color w:val="auto"/>
                <w:sz w:val="32"/>
                <w:szCs w:val="32"/>
                <w:highlight w:val="none"/>
              </w:rPr>
            </w:pPr>
          </w:p>
        </w:tc>
      </w:tr>
      <w:tr>
        <w:tblPrEx>
          <w:tblCellMar>
            <w:top w:w="0" w:type="dxa"/>
            <w:left w:w="108" w:type="dxa"/>
            <w:bottom w:w="0" w:type="dxa"/>
            <w:right w:w="108" w:type="dxa"/>
          </w:tblCellMar>
        </w:tblPrEx>
        <w:trPr>
          <w:cantSplit/>
          <w:trHeight w:val="465" w:hRule="atLeast"/>
        </w:trPr>
        <w:tc>
          <w:tcPr>
            <w:tcW w:w="210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宽带</w:t>
            </w:r>
          </w:p>
        </w:tc>
        <w:tc>
          <w:tcPr>
            <w:tcW w:w="1725" w:type="dxa"/>
            <w:tcBorders>
              <w:top w:val="single" w:color="auto" w:sz="4" w:space="0"/>
              <w:left w:val="nil"/>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1户</w:t>
            </w:r>
          </w:p>
        </w:tc>
        <w:tc>
          <w:tcPr>
            <w:tcW w:w="1785" w:type="dxa"/>
            <w:tcBorders>
              <w:top w:val="single" w:color="auto" w:sz="4" w:space="0"/>
              <w:left w:val="nil"/>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100</w:t>
            </w:r>
          </w:p>
        </w:tc>
        <w:tc>
          <w:tcPr>
            <w:tcW w:w="3750" w:type="dxa"/>
            <w:vMerge w:val="continue"/>
            <w:tcBorders>
              <w:top w:val="nil"/>
              <w:left w:val="nil"/>
              <w:bottom w:val="single" w:color="auto" w:sz="4" w:space="0"/>
              <w:right w:val="single" w:color="auto" w:sz="4" w:space="0"/>
            </w:tcBorders>
            <w:vAlign w:val="center"/>
          </w:tcPr>
          <w:p>
            <w:pPr>
              <w:keepNext/>
              <w:keepLines/>
              <w:spacing w:before="156" w:beforeLines="50" w:after="156" w:afterLines="50" w:line="600" w:lineRule="exact"/>
              <w:ind w:firstLine="640" w:firstLineChars="200"/>
              <w:rPr>
                <w:rFonts w:ascii="仿宋" w:hAnsi="仿宋" w:eastAsia="仿宋" w:cs="仿宋_GB2312"/>
                <w:color w:val="auto"/>
                <w:sz w:val="32"/>
                <w:szCs w:val="32"/>
                <w:highlight w:val="none"/>
              </w:rPr>
            </w:pPr>
          </w:p>
        </w:tc>
      </w:tr>
      <w:tr>
        <w:tblPrEx>
          <w:tblCellMar>
            <w:top w:w="0" w:type="dxa"/>
            <w:left w:w="108" w:type="dxa"/>
            <w:bottom w:w="0" w:type="dxa"/>
            <w:right w:w="108" w:type="dxa"/>
          </w:tblCellMar>
        </w:tblPrEx>
        <w:trPr>
          <w:cantSplit/>
          <w:trHeight w:val="465" w:hRule="atLeast"/>
        </w:trPr>
        <w:tc>
          <w:tcPr>
            <w:tcW w:w="210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电表（单线）</w:t>
            </w:r>
          </w:p>
        </w:tc>
        <w:tc>
          <w:tcPr>
            <w:tcW w:w="1725" w:type="dxa"/>
            <w:tcBorders>
              <w:top w:val="single" w:color="auto" w:sz="4" w:space="0"/>
              <w:left w:val="nil"/>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1只</w:t>
            </w:r>
          </w:p>
        </w:tc>
        <w:tc>
          <w:tcPr>
            <w:tcW w:w="1785" w:type="dxa"/>
            <w:tcBorders>
              <w:top w:val="single" w:color="auto" w:sz="4" w:space="0"/>
              <w:left w:val="nil"/>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100</w:t>
            </w:r>
          </w:p>
        </w:tc>
        <w:tc>
          <w:tcPr>
            <w:tcW w:w="3750" w:type="dxa"/>
            <w:vMerge w:val="continue"/>
            <w:tcBorders>
              <w:top w:val="nil"/>
              <w:left w:val="nil"/>
              <w:bottom w:val="single" w:color="auto" w:sz="4" w:space="0"/>
              <w:right w:val="single" w:color="auto" w:sz="4" w:space="0"/>
            </w:tcBorders>
            <w:vAlign w:val="center"/>
          </w:tcPr>
          <w:p>
            <w:pPr>
              <w:keepNext/>
              <w:keepLines/>
              <w:spacing w:before="156" w:beforeLines="50" w:after="156" w:afterLines="50" w:line="600" w:lineRule="exact"/>
              <w:ind w:firstLine="640" w:firstLineChars="200"/>
              <w:rPr>
                <w:rFonts w:ascii="仿宋" w:hAnsi="仿宋" w:eastAsia="仿宋" w:cs="仿宋_GB2312"/>
                <w:color w:val="auto"/>
                <w:sz w:val="32"/>
                <w:szCs w:val="32"/>
                <w:highlight w:val="none"/>
              </w:rPr>
            </w:pPr>
          </w:p>
        </w:tc>
      </w:tr>
      <w:tr>
        <w:tblPrEx>
          <w:tblCellMar>
            <w:top w:w="0" w:type="dxa"/>
            <w:left w:w="108" w:type="dxa"/>
            <w:bottom w:w="0" w:type="dxa"/>
            <w:right w:w="108" w:type="dxa"/>
          </w:tblCellMar>
        </w:tblPrEx>
        <w:trPr>
          <w:cantSplit/>
          <w:trHeight w:val="465" w:hRule="atLeast"/>
        </w:trPr>
        <w:tc>
          <w:tcPr>
            <w:tcW w:w="210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电表（三线）</w:t>
            </w:r>
          </w:p>
        </w:tc>
        <w:tc>
          <w:tcPr>
            <w:tcW w:w="1725" w:type="dxa"/>
            <w:tcBorders>
              <w:top w:val="single" w:color="auto" w:sz="4" w:space="0"/>
              <w:left w:val="nil"/>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1只</w:t>
            </w:r>
          </w:p>
        </w:tc>
        <w:tc>
          <w:tcPr>
            <w:tcW w:w="1785" w:type="dxa"/>
            <w:tcBorders>
              <w:top w:val="single" w:color="auto" w:sz="4" w:space="0"/>
              <w:left w:val="nil"/>
              <w:bottom w:val="single" w:color="auto" w:sz="4" w:space="0"/>
              <w:right w:val="single" w:color="auto" w:sz="4" w:space="0"/>
            </w:tcBorders>
            <w:vAlign w:val="center"/>
          </w:tcPr>
          <w:p>
            <w:pPr>
              <w:spacing w:before="156" w:beforeLines="50" w:beforeAutospacing="1" w:after="156" w:afterLines="50" w:afterAutospacing="1" w:line="600" w:lineRule="exact"/>
              <w:jc w:val="center"/>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1200</w:t>
            </w:r>
          </w:p>
        </w:tc>
        <w:tc>
          <w:tcPr>
            <w:tcW w:w="3750" w:type="dxa"/>
            <w:vMerge w:val="continue"/>
            <w:tcBorders>
              <w:top w:val="nil"/>
              <w:left w:val="nil"/>
              <w:bottom w:val="single" w:color="auto" w:sz="4" w:space="0"/>
              <w:right w:val="single" w:color="auto" w:sz="4" w:space="0"/>
            </w:tcBorders>
            <w:vAlign w:val="center"/>
          </w:tcPr>
          <w:p>
            <w:pPr>
              <w:keepNext/>
              <w:keepLines/>
              <w:spacing w:before="156" w:beforeLines="50" w:after="156" w:afterLines="50" w:line="600" w:lineRule="exact"/>
              <w:ind w:firstLine="640" w:firstLineChars="200"/>
              <w:rPr>
                <w:rFonts w:ascii="仿宋" w:hAnsi="仿宋" w:eastAsia="仿宋" w:cs="仿宋_GB2312"/>
                <w:color w:val="auto"/>
                <w:sz w:val="32"/>
                <w:szCs w:val="32"/>
                <w:highlight w:val="none"/>
              </w:rPr>
            </w:pPr>
          </w:p>
        </w:tc>
      </w:tr>
      <w:tr>
        <w:tblPrEx>
          <w:tblCellMar>
            <w:top w:w="0" w:type="dxa"/>
            <w:left w:w="108" w:type="dxa"/>
            <w:bottom w:w="0" w:type="dxa"/>
            <w:right w:w="108" w:type="dxa"/>
          </w:tblCellMar>
        </w:tblPrEx>
        <w:trPr>
          <w:cantSplit/>
          <w:trHeight w:val="465" w:hRule="atLeast"/>
        </w:trPr>
        <w:tc>
          <w:tcPr>
            <w:tcW w:w="210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水表</w:t>
            </w:r>
          </w:p>
        </w:tc>
        <w:tc>
          <w:tcPr>
            <w:tcW w:w="1725" w:type="dxa"/>
            <w:tcBorders>
              <w:top w:val="single" w:color="auto" w:sz="4" w:space="0"/>
              <w:left w:val="nil"/>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1只</w:t>
            </w:r>
          </w:p>
        </w:tc>
        <w:tc>
          <w:tcPr>
            <w:tcW w:w="1785" w:type="dxa"/>
            <w:tcBorders>
              <w:top w:val="single" w:color="auto" w:sz="4" w:space="0"/>
              <w:left w:val="nil"/>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40</w:t>
            </w:r>
          </w:p>
        </w:tc>
        <w:tc>
          <w:tcPr>
            <w:tcW w:w="3750" w:type="dxa"/>
            <w:vMerge w:val="continue"/>
            <w:tcBorders>
              <w:top w:val="nil"/>
              <w:left w:val="nil"/>
              <w:bottom w:val="single" w:color="auto" w:sz="4" w:space="0"/>
              <w:right w:val="single" w:color="auto" w:sz="4" w:space="0"/>
            </w:tcBorders>
            <w:vAlign w:val="center"/>
          </w:tcPr>
          <w:p>
            <w:pPr>
              <w:keepNext/>
              <w:keepLines/>
              <w:spacing w:before="156" w:beforeLines="50" w:after="156" w:afterLines="50" w:line="600" w:lineRule="exact"/>
              <w:ind w:firstLine="640" w:firstLineChars="200"/>
              <w:rPr>
                <w:rFonts w:ascii="仿宋" w:hAnsi="仿宋" w:eastAsia="仿宋" w:cs="仿宋_GB2312"/>
                <w:color w:val="auto"/>
                <w:sz w:val="32"/>
                <w:szCs w:val="32"/>
                <w:highlight w:val="none"/>
              </w:rPr>
            </w:pPr>
          </w:p>
        </w:tc>
      </w:tr>
      <w:tr>
        <w:tblPrEx>
          <w:tblCellMar>
            <w:top w:w="0" w:type="dxa"/>
            <w:left w:w="108" w:type="dxa"/>
            <w:bottom w:w="0" w:type="dxa"/>
            <w:right w:w="108" w:type="dxa"/>
          </w:tblCellMar>
        </w:tblPrEx>
        <w:trPr>
          <w:cantSplit/>
          <w:trHeight w:val="465" w:hRule="atLeast"/>
        </w:trPr>
        <w:tc>
          <w:tcPr>
            <w:tcW w:w="210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附属用房及其他用房</w:t>
            </w:r>
          </w:p>
        </w:tc>
        <w:tc>
          <w:tcPr>
            <w:tcW w:w="1725" w:type="dxa"/>
            <w:tcBorders>
              <w:top w:val="single" w:color="auto" w:sz="4" w:space="0"/>
              <w:left w:val="nil"/>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1</w:t>
            </w:r>
            <w:r>
              <w:rPr>
                <w:rFonts w:hint="eastAsia" w:ascii="仿宋" w:hAnsi="仿宋" w:eastAsia="仿宋" w:cs="仿宋_GB2312"/>
                <w:color w:val="auto"/>
                <w:sz w:val="32"/>
                <w:szCs w:val="32"/>
                <w:highlight w:val="none"/>
              </w:rPr>
              <w:t>㎡</w:t>
            </w:r>
          </w:p>
        </w:tc>
        <w:tc>
          <w:tcPr>
            <w:tcW w:w="1785" w:type="dxa"/>
            <w:tcBorders>
              <w:top w:val="single" w:color="auto" w:sz="4" w:space="0"/>
              <w:left w:val="nil"/>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100-400</w:t>
            </w:r>
          </w:p>
        </w:tc>
        <w:tc>
          <w:tcPr>
            <w:tcW w:w="3750" w:type="dxa"/>
            <w:vMerge w:val="restart"/>
            <w:tcBorders>
              <w:top w:val="nil"/>
              <w:left w:val="nil"/>
              <w:bottom w:val="single" w:color="auto" w:sz="4" w:space="0"/>
              <w:right w:val="single" w:color="auto" w:sz="4" w:space="0"/>
            </w:tcBorders>
            <w:vAlign w:val="center"/>
          </w:tcPr>
          <w:p>
            <w:pPr>
              <w:spacing w:before="156" w:beforeLines="50" w:after="156" w:afterLines="50" w:line="600" w:lineRule="exact"/>
              <w:ind w:firstLine="640" w:firstLineChars="2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历史性遗留的附着物，给予一次性经济补偿。</w:t>
            </w:r>
          </w:p>
        </w:tc>
      </w:tr>
      <w:tr>
        <w:tblPrEx>
          <w:tblCellMar>
            <w:top w:w="0" w:type="dxa"/>
            <w:left w:w="108" w:type="dxa"/>
            <w:bottom w:w="0" w:type="dxa"/>
            <w:right w:w="108" w:type="dxa"/>
          </w:tblCellMar>
        </w:tblPrEx>
        <w:trPr>
          <w:cantSplit/>
          <w:trHeight w:val="465" w:hRule="atLeast"/>
        </w:trPr>
        <w:tc>
          <w:tcPr>
            <w:tcW w:w="210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各类棚顶</w:t>
            </w:r>
          </w:p>
        </w:tc>
        <w:tc>
          <w:tcPr>
            <w:tcW w:w="1725" w:type="dxa"/>
            <w:tcBorders>
              <w:top w:val="single" w:color="auto" w:sz="4" w:space="0"/>
              <w:left w:val="nil"/>
              <w:bottom w:val="single" w:color="auto" w:sz="4" w:space="0"/>
              <w:right w:val="single" w:color="auto" w:sz="4" w:space="0"/>
            </w:tcBorders>
            <w:vAlign w:val="center"/>
          </w:tcPr>
          <w:p>
            <w:pPr>
              <w:spacing w:before="156" w:beforeLines="50" w:beforeAutospacing="1" w:after="156" w:afterLines="50" w:afterAutospacing="1" w:line="600" w:lineRule="exact"/>
              <w:jc w:val="center"/>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1</w:t>
            </w:r>
            <w:r>
              <w:rPr>
                <w:rFonts w:hint="eastAsia" w:ascii="仿宋" w:hAnsi="仿宋" w:eastAsia="仿宋" w:cs="仿宋_GB2312"/>
                <w:color w:val="auto"/>
                <w:sz w:val="32"/>
                <w:szCs w:val="32"/>
                <w:highlight w:val="none"/>
              </w:rPr>
              <w:t>㎡</w:t>
            </w:r>
          </w:p>
        </w:tc>
        <w:tc>
          <w:tcPr>
            <w:tcW w:w="1785" w:type="dxa"/>
            <w:tcBorders>
              <w:top w:val="single" w:color="auto" w:sz="4" w:space="0"/>
              <w:left w:val="nil"/>
              <w:bottom w:val="single" w:color="auto" w:sz="4" w:space="0"/>
              <w:right w:val="single" w:color="auto" w:sz="4" w:space="0"/>
            </w:tcBorders>
            <w:vAlign w:val="center"/>
          </w:tcPr>
          <w:p>
            <w:pPr>
              <w:spacing w:before="156" w:beforeLines="50" w:beforeAutospacing="1" w:after="156" w:afterLines="50" w:afterAutospacing="1" w:line="600" w:lineRule="exact"/>
              <w:jc w:val="center"/>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30-100</w:t>
            </w:r>
          </w:p>
        </w:tc>
        <w:tc>
          <w:tcPr>
            <w:tcW w:w="3750" w:type="dxa"/>
            <w:vMerge w:val="continue"/>
            <w:tcBorders>
              <w:top w:val="nil"/>
              <w:left w:val="nil"/>
              <w:bottom w:val="single" w:color="auto" w:sz="4" w:space="0"/>
              <w:right w:val="single" w:color="auto" w:sz="4" w:space="0"/>
            </w:tcBorders>
            <w:vAlign w:val="center"/>
          </w:tcPr>
          <w:p>
            <w:pPr>
              <w:keepNext/>
              <w:keepLines/>
              <w:spacing w:before="156" w:beforeLines="50" w:after="156" w:afterLines="50" w:line="600" w:lineRule="exact"/>
              <w:ind w:firstLine="640" w:firstLineChars="200"/>
              <w:rPr>
                <w:rFonts w:ascii="仿宋" w:hAnsi="仿宋" w:eastAsia="仿宋" w:cs="仿宋_GB2312"/>
                <w:color w:val="auto"/>
                <w:sz w:val="32"/>
                <w:szCs w:val="32"/>
                <w:highlight w:val="none"/>
              </w:rPr>
            </w:pPr>
          </w:p>
        </w:tc>
      </w:tr>
      <w:tr>
        <w:tblPrEx>
          <w:tblCellMar>
            <w:top w:w="0" w:type="dxa"/>
            <w:left w:w="108" w:type="dxa"/>
            <w:bottom w:w="0" w:type="dxa"/>
            <w:right w:w="108" w:type="dxa"/>
          </w:tblCellMar>
        </w:tblPrEx>
        <w:trPr>
          <w:cantSplit/>
          <w:trHeight w:val="465" w:hRule="atLeast"/>
        </w:trPr>
        <w:tc>
          <w:tcPr>
            <w:tcW w:w="210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600" w:lineRule="exact"/>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禽畜棚舍</w:t>
            </w:r>
          </w:p>
        </w:tc>
        <w:tc>
          <w:tcPr>
            <w:tcW w:w="1725" w:type="dxa"/>
            <w:tcBorders>
              <w:top w:val="single" w:color="auto" w:sz="4" w:space="0"/>
              <w:left w:val="nil"/>
              <w:bottom w:val="single" w:color="auto" w:sz="4" w:space="0"/>
              <w:right w:val="single" w:color="auto" w:sz="4" w:space="0"/>
            </w:tcBorders>
            <w:vAlign w:val="center"/>
          </w:tcPr>
          <w:p>
            <w:pPr>
              <w:spacing w:before="156" w:beforeLines="50" w:beforeAutospacing="1" w:after="156" w:afterLines="50" w:afterAutospacing="1" w:line="600" w:lineRule="exact"/>
              <w:jc w:val="center"/>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1</w:t>
            </w:r>
            <w:r>
              <w:rPr>
                <w:rFonts w:hint="eastAsia" w:ascii="仿宋" w:hAnsi="仿宋" w:eastAsia="仿宋" w:cs="仿宋_GB2312"/>
                <w:color w:val="auto"/>
                <w:sz w:val="32"/>
                <w:szCs w:val="32"/>
                <w:highlight w:val="none"/>
              </w:rPr>
              <w:t>㎡</w:t>
            </w:r>
          </w:p>
        </w:tc>
        <w:tc>
          <w:tcPr>
            <w:tcW w:w="1785" w:type="dxa"/>
            <w:tcBorders>
              <w:top w:val="single" w:color="auto" w:sz="4" w:space="0"/>
              <w:left w:val="nil"/>
              <w:bottom w:val="single" w:color="auto" w:sz="4" w:space="0"/>
              <w:right w:val="single" w:color="auto" w:sz="4" w:space="0"/>
            </w:tcBorders>
            <w:vAlign w:val="center"/>
          </w:tcPr>
          <w:p>
            <w:pPr>
              <w:spacing w:before="156" w:beforeLines="50" w:beforeAutospacing="1" w:after="156" w:afterLines="50" w:afterAutospacing="1" w:line="600" w:lineRule="exact"/>
              <w:jc w:val="center"/>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15-30</w:t>
            </w:r>
          </w:p>
        </w:tc>
        <w:tc>
          <w:tcPr>
            <w:tcW w:w="3750" w:type="dxa"/>
            <w:vMerge w:val="continue"/>
            <w:tcBorders>
              <w:top w:val="nil"/>
              <w:left w:val="nil"/>
              <w:bottom w:val="single" w:color="auto" w:sz="4" w:space="0"/>
              <w:right w:val="single" w:color="auto" w:sz="4" w:space="0"/>
            </w:tcBorders>
            <w:vAlign w:val="center"/>
          </w:tcPr>
          <w:p>
            <w:pPr>
              <w:keepNext/>
              <w:keepLines/>
              <w:spacing w:before="156" w:beforeLines="50" w:after="156" w:afterLines="50" w:line="600" w:lineRule="exact"/>
              <w:ind w:firstLine="640" w:firstLineChars="200"/>
              <w:rPr>
                <w:rFonts w:ascii="仿宋" w:hAnsi="仿宋" w:eastAsia="仿宋" w:cs="仿宋_GB2312"/>
                <w:color w:val="auto"/>
                <w:sz w:val="32"/>
                <w:szCs w:val="32"/>
                <w:highlight w:val="none"/>
              </w:rPr>
            </w:pPr>
          </w:p>
        </w:tc>
      </w:tr>
    </w:tbl>
    <w:p>
      <w:pPr>
        <w:pStyle w:val="5"/>
        <w:widowControl/>
        <w:spacing w:before="156" w:beforeLines="50" w:beforeAutospacing="0" w:after="156" w:afterLines="50" w:afterAutospacing="0" w:line="600" w:lineRule="exact"/>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征地房屋的水费、电费、电视、宽带费等费用，由房屋所有权人在搬迁腾空验收前自行到相关单位缴清。</w:t>
      </w:r>
    </w:p>
    <w:p>
      <w:pPr>
        <w:spacing w:before="156" w:beforeLines="50" w:after="156" w:afterLines="50" w:line="600" w:lineRule="exact"/>
        <w:ind w:firstLine="640" w:firstLineChars="200"/>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lang w:eastAsia="zh-CN"/>
        </w:rPr>
        <w:t>（二）</w:t>
      </w:r>
      <w:r>
        <w:rPr>
          <w:rFonts w:hint="eastAsia" w:ascii="仿宋" w:hAnsi="仿宋" w:eastAsia="仿宋" w:cs="仿宋_GB2312"/>
          <w:bCs/>
          <w:color w:val="auto"/>
          <w:sz w:val="32"/>
          <w:szCs w:val="32"/>
          <w:highlight w:val="none"/>
        </w:rPr>
        <w:t>停产停业损失补偿。</w:t>
      </w:r>
    </w:p>
    <w:p>
      <w:pPr>
        <w:spacing w:before="156" w:beforeLines="50" w:after="156" w:afterLines="50" w:line="600" w:lineRule="exact"/>
        <w:ind w:firstLine="640" w:firstLineChars="2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对因征收商业或其他非住宅用房（工业用房除外）造成停产停业损失的补偿，补偿标准按征地房屋合法产权建筑面积的评估价值</w:t>
      </w:r>
      <w:r>
        <w:rPr>
          <w:rFonts w:ascii="仿宋" w:hAnsi="仿宋" w:eastAsia="仿宋" w:cs="仿宋_GB2312"/>
          <w:color w:val="auto"/>
          <w:sz w:val="32"/>
          <w:szCs w:val="32"/>
          <w:highlight w:val="none"/>
        </w:rPr>
        <w:t>5%计算。</w:t>
      </w:r>
    </w:p>
    <w:p>
      <w:pPr>
        <w:spacing w:before="156" w:beforeLines="50" w:after="156" w:afterLines="50" w:line="600" w:lineRule="exact"/>
        <w:ind w:firstLine="640" w:firstLineChars="2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生产经营者认为其停产停业损失超过依照前款规定计算的补偿费的，应当向实施单位提供房屋被征收前三年的效益、纳税凭证、停产停业期限等相关证明材料。停产停业的损失应由资产评估机构评估确定。</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w:t>
      </w:r>
      <w:r>
        <w:rPr>
          <w:rFonts w:hint="eastAsia" w:ascii="仿宋" w:hAnsi="仿宋" w:eastAsia="仿宋" w:cs="仿宋_GB2312"/>
          <w:color w:val="auto"/>
          <w:sz w:val="32"/>
          <w:szCs w:val="32"/>
          <w:highlight w:val="none"/>
          <w:lang w:eastAsia="zh-CN"/>
        </w:rPr>
        <w:t>三</w:t>
      </w:r>
      <w:r>
        <w:rPr>
          <w:rFonts w:hint="eastAsia" w:ascii="仿宋" w:hAnsi="仿宋" w:eastAsia="仿宋" w:cs="仿宋_GB2312"/>
          <w:color w:val="auto"/>
          <w:sz w:val="32"/>
          <w:szCs w:val="32"/>
          <w:highlight w:val="none"/>
        </w:rPr>
        <w:t>）安置建筑面积计算标准</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1、征地房屋一自然间</w:t>
      </w:r>
      <w:r>
        <w:rPr>
          <w:rFonts w:hint="eastAsia" w:ascii="仿宋" w:hAnsi="仿宋" w:eastAsia="仿宋" w:cs="仿宋_GB2312"/>
          <w:color w:val="auto"/>
          <w:sz w:val="32"/>
          <w:szCs w:val="32"/>
          <w:highlight w:val="none"/>
        </w:rPr>
        <w:t>〔指宅基地范围内合法（或认定）建筑底层占地面积大于或等于</w:t>
      </w:r>
      <w:r>
        <w:rPr>
          <w:rFonts w:ascii="仿宋" w:hAnsi="仿宋" w:eastAsia="仿宋" w:cs="仿宋_GB2312"/>
          <w:color w:val="auto"/>
          <w:sz w:val="32"/>
          <w:szCs w:val="32"/>
          <w:highlight w:val="none"/>
        </w:rPr>
        <w:t>35㎡的住宅</w:t>
      </w:r>
      <w:r>
        <w:rPr>
          <w:rFonts w:hint="eastAsia" w:ascii="仿宋" w:hAnsi="仿宋" w:eastAsia="仿宋" w:cs="仿宋_GB2312"/>
          <w:color w:val="auto"/>
          <w:sz w:val="32"/>
          <w:szCs w:val="32"/>
          <w:highlight w:val="none"/>
        </w:rPr>
        <w:t>〕安置建筑面积</w:t>
      </w:r>
      <w:r>
        <w:rPr>
          <w:rFonts w:ascii="仿宋" w:hAnsi="仿宋" w:eastAsia="仿宋" w:cs="仿宋_GB2312"/>
          <w:color w:val="auto"/>
          <w:sz w:val="32"/>
          <w:szCs w:val="32"/>
          <w:highlight w:val="none"/>
        </w:rPr>
        <w:t>175㎡。</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2、征地房屋不足一自然间的，按合法（或认定）建筑底层占地面积与安置建筑面积比率1:5计算；不足一自然间且房屋所有权人家庭在征地所在村内无其他房屋（包括未列入征地范围、已拆迁安置和已出售、赠与他人的房屋等）的，可按一自然间标准计算。</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3、征地房屋一自然间宅基地上合法（或认定）建筑面积大于175㎡的，安置建筑面积按合法建筑面积1:1计算。</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4、已建成公寓式套房的，安置建筑面积按合法建筑面积1:1.2计算。</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5、征地房屋一自然间（套）多人共有或被分隔成多间多人所有的按一自然间（套）计算。</w:t>
      </w:r>
    </w:p>
    <w:p>
      <w:pPr>
        <w:pStyle w:val="5"/>
        <w:widowControl/>
        <w:spacing w:before="156" w:beforeLines="50" w:beforeAutospacing="0" w:after="156" w:afterLines="50" w:afterAutospacing="0" w:line="600" w:lineRule="exact"/>
        <w:ind w:firstLine="615"/>
        <w:jc w:val="both"/>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6</w:t>
      </w:r>
      <w:r>
        <w:rPr>
          <w:rFonts w:hint="eastAsia" w:ascii="仿宋" w:hAnsi="仿宋" w:eastAsia="仿宋" w:cs="仿宋_GB2312"/>
          <w:color w:val="auto"/>
          <w:sz w:val="32"/>
          <w:szCs w:val="32"/>
          <w:highlight w:val="none"/>
          <w:lang w:eastAsia="zh-CN"/>
        </w:rPr>
        <w:t>、</w:t>
      </w:r>
      <w:r>
        <w:rPr>
          <w:rFonts w:hint="eastAsia" w:ascii="仿宋" w:hAnsi="仿宋" w:eastAsia="仿宋" w:cs="仿宋_GB2312"/>
          <w:color w:val="auto"/>
          <w:sz w:val="32"/>
          <w:szCs w:val="32"/>
          <w:highlight w:val="none"/>
        </w:rPr>
        <w:t>商业用房部分的安置建筑面积从征地房屋总安置建筑面积中扣除，剩余安置面积为住宅安置建筑面积。</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lang w:val="en-US" w:eastAsia="zh-CN"/>
        </w:rPr>
        <w:t>7、</w:t>
      </w:r>
      <w:r>
        <w:rPr>
          <w:rFonts w:hint="eastAsia" w:ascii="仿宋" w:hAnsi="仿宋" w:eastAsia="仿宋" w:cs="仿宋_GB2312"/>
          <w:color w:val="auto"/>
          <w:sz w:val="32"/>
          <w:szCs w:val="32"/>
          <w:highlight w:val="none"/>
        </w:rPr>
        <w:t>村集体办公、生产经营用房按土地使用权证面积的</w:t>
      </w:r>
      <w:r>
        <w:rPr>
          <w:rFonts w:ascii="仿宋" w:hAnsi="仿宋" w:eastAsia="仿宋" w:cs="仿宋_GB2312"/>
          <w:color w:val="auto"/>
          <w:sz w:val="32"/>
          <w:szCs w:val="32"/>
          <w:highlight w:val="none"/>
        </w:rPr>
        <w:t>1:1.8或合法建筑面积1:1计算三产用房安置建筑面积。</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六、奖励措施</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（一）落地式房屋所有权人在规定的签约期限内签约的，给予征地房屋每一自然间</w:t>
      </w:r>
      <w:r>
        <w:rPr>
          <w:rFonts w:ascii="仿宋" w:hAnsi="仿宋" w:eastAsia="仿宋" w:cs="仿宋_GB2312"/>
          <w:color w:val="auto"/>
          <w:sz w:val="32"/>
          <w:szCs w:val="32"/>
          <w:highlight w:val="none"/>
        </w:rPr>
        <w:t>15平方米的安置建筑面积奖励</w:t>
      </w:r>
      <w:r>
        <w:rPr>
          <w:rFonts w:hint="eastAsia" w:ascii="仿宋" w:hAnsi="仿宋" w:eastAsia="仿宋" w:cs="仿宋_GB2312"/>
          <w:color w:val="auto"/>
          <w:sz w:val="32"/>
          <w:szCs w:val="32"/>
          <w:highlight w:val="none"/>
        </w:rPr>
        <w:t>（不足一自然间的按比率计算）；在规定的期限内搬迁腾空并经验收合格的，给予征地房屋每一自然间</w:t>
      </w:r>
      <w:r>
        <w:rPr>
          <w:rFonts w:ascii="仿宋" w:hAnsi="仿宋" w:eastAsia="仿宋" w:cs="仿宋_GB2312"/>
          <w:color w:val="auto"/>
          <w:sz w:val="32"/>
          <w:szCs w:val="32"/>
          <w:highlight w:val="none"/>
        </w:rPr>
        <w:t>20平方米的安置建筑面积奖励（不足一自然间的按比率计算）。</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公寓式房屋所有权人在</w:t>
      </w:r>
      <w:bookmarkStart w:id="0" w:name="_GoBack"/>
      <w:bookmarkEnd w:id="0"/>
      <w:r>
        <w:rPr>
          <w:rFonts w:hint="eastAsia" w:ascii="仿宋" w:hAnsi="仿宋" w:eastAsia="仿宋" w:cs="仿宋_GB2312"/>
          <w:color w:val="auto"/>
          <w:sz w:val="32"/>
          <w:szCs w:val="32"/>
          <w:highlight w:val="none"/>
        </w:rPr>
        <w:t>规定的签约期限内签约的，给予征地房屋合法（或认定）建筑面积</w:t>
      </w:r>
      <w:r>
        <w:rPr>
          <w:rFonts w:ascii="仿宋" w:hAnsi="仿宋" w:eastAsia="仿宋" w:cs="仿宋_GB2312"/>
          <w:color w:val="auto"/>
          <w:sz w:val="32"/>
          <w:szCs w:val="32"/>
          <w:highlight w:val="none"/>
        </w:rPr>
        <w:t>12%的安置建筑面积奖励，在规定的期限内腾空搬迁并验收合格的，给予征地房屋合法（或认定）建筑面积18%的安置建筑面积奖励。每套奖励的建筑面积最高不超过45平方米，最低不小于25平方米。</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（二）房屋所有权人选择货币补偿安置的，住宅部分给予货币补偿安置建筑面积（含奖励面积）回购款</w:t>
      </w:r>
      <w:r>
        <w:rPr>
          <w:rFonts w:ascii="仿宋" w:hAnsi="仿宋" w:eastAsia="仿宋" w:cs="仿宋_GB2312"/>
          <w:color w:val="auto"/>
          <w:sz w:val="32"/>
          <w:szCs w:val="32"/>
          <w:highlight w:val="none"/>
        </w:rPr>
        <w:t>5%的奖励；商业部分给予商业评估价值5%的奖励。</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七、安置方式</w:t>
      </w:r>
    </w:p>
    <w:p>
      <w:pPr>
        <w:spacing w:before="156" w:beforeLines="50" w:after="156" w:afterLines="50" w:line="600" w:lineRule="exact"/>
        <w:ind w:firstLine="640" w:firstLineChars="200"/>
        <w:rPr>
          <w:rFonts w:ascii="仿宋" w:hAnsi="仿宋" w:eastAsia="仿宋" w:cs="仿宋_GB2312"/>
          <w:color w:val="auto"/>
          <w:kern w:val="0"/>
          <w:sz w:val="32"/>
          <w:szCs w:val="32"/>
          <w:highlight w:val="none"/>
        </w:rPr>
      </w:pPr>
      <w:r>
        <w:rPr>
          <w:rFonts w:ascii="仿宋" w:hAnsi="仿宋" w:eastAsia="仿宋" w:cs="仿宋_GB2312"/>
          <w:color w:val="auto"/>
          <w:kern w:val="0"/>
          <w:sz w:val="32"/>
          <w:szCs w:val="32"/>
          <w:highlight w:val="none"/>
        </w:rPr>
        <w:t>安置方式分为货币补偿安置、产权调换安置两种方式，房屋所有权人可选择其中一种安置方式。</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（一）货币补偿安置</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选择货币补偿安置的，实施单位给予房屋所有权人一次性货币补偿，不再提供安置用房。</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1、住宅用房货币补偿款的构成：</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由房屋重置成新价、一次性搬迁费、</w:t>
      </w:r>
      <w:r>
        <w:rPr>
          <w:rFonts w:ascii="仿宋" w:hAnsi="仿宋" w:eastAsia="仿宋" w:cs="仿宋_GB2312"/>
          <w:color w:val="auto"/>
          <w:sz w:val="32"/>
          <w:szCs w:val="32"/>
          <w:highlight w:val="none"/>
        </w:rPr>
        <w:t>6个月临时过渡安置费、其它补偿费、安置建筑面积（含奖励面积）回购款、货币补偿安置建筑面积（含奖励面积）回购款5%的奖励构成。</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回购单价</w:t>
      </w:r>
      <w:r>
        <w:rPr>
          <w:rFonts w:hint="eastAsia" w:ascii="仿宋" w:hAnsi="仿宋" w:eastAsia="仿宋" w:cs="仿宋_GB2312"/>
          <w:color w:val="auto"/>
          <w:sz w:val="32"/>
          <w:szCs w:val="32"/>
          <w:highlight w:val="none"/>
          <w:lang w:val="en-US" w:eastAsia="zh-CN"/>
        </w:rPr>
        <w:t>由</w:t>
      </w:r>
      <w:r>
        <w:rPr>
          <w:rFonts w:hint="eastAsia" w:ascii="仿宋" w:hAnsi="仿宋" w:eastAsia="仿宋" w:cs="仿宋_GB2312"/>
          <w:color w:val="auto"/>
          <w:sz w:val="32"/>
          <w:szCs w:val="32"/>
          <w:highlight w:val="none"/>
        </w:rPr>
        <w:t>实施</w:t>
      </w:r>
      <w:r>
        <w:rPr>
          <w:rFonts w:hint="eastAsia" w:ascii="仿宋" w:hAnsi="仿宋" w:eastAsia="仿宋" w:cs="仿宋_GB2312"/>
          <w:color w:val="auto"/>
          <w:sz w:val="32"/>
          <w:szCs w:val="32"/>
          <w:highlight w:val="none"/>
          <w:lang w:val="en-US" w:eastAsia="zh-CN"/>
        </w:rPr>
        <w:t>单位</w:t>
      </w:r>
      <w:r>
        <w:rPr>
          <w:rFonts w:hint="eastAsia" w:ascii="仿宋" w:hAnsi="仿宋" w:eastAsia="仿宋" w:cs="仿宋_GB2312"/>
          <w:color w:val="auto"/>
          <w:sz w:val="32"/>
          <w:szCs w:val="32"/>
          <w:highlight w:val="none"/>
        </w:rPr>
        <w:t>委托</w:t>
      </w:r>
      <w:r>
        <w:rPr>
          <w:rFonts w:hint="eastAsia" w:ascii="仿宋" w:hAnsi="仿宋" w:eastAsia="仿宋" w:cs="仿宋_GB2312"/>
          <w:color w:val="auto"/>
          <w:sz w:val="32"/>
          <w:szCs w:val="32"/>
          <w:highlight w:val="none"/>
          <w:lang w:val="en-US" w:eastAsia="zh-CN"/>
        </w:rPr>
        <w:t>依法选定的房地产评估</w:t>
      </w:r>
      <w:r>
        <w:rPr>
          <w:rFonts w:hint="eastAsia" w:ascii="仿宋" w:hAnsi="仿宋" w:eastAsia="仿宋" w:cs="仿宋_GB2312"/>
          <w:color w:val="auto"/>
          <w:sz w:val="32"/>
          <w:szCs w:val="32"/>
          <w:highlight w:val="none"/>
        </w:rPr>
        <w:t>机构</w:t>
      </w:r>
      <w:r>
        <w:rPr>
          <w:rFonts w:hint="eastAsia" w:ascii="仿宋" w:hAnsi="仿宋" w:eastAsia="仿宋" w:cs="仿宋_GB2312"/>
          <w:color w:val="auto"/>
          <w:sz w:val="32"/>
          <w:szCs w:val="32"/>
          <w:highlight w:val="none"/>
          <w:lang w:val="en-US" w:eastAsia="zh-CN"/>
        </w:rPr>
        <w:t>进行评估</w:t>
      </w:r>
      <w:r>
        <w:rPr>
          <w:rFonts w:hint="eastAsia" w:ascii="仿宋" w:hAnsi="仿宋" w:eastAsia="仿宋" w:cs="仿宋_GB2312"/>
          <w:color w:val="auto"/>
          <w:sz w:val="32"/>
          <w:szCs w:val="32"/>
          <w:highlight w:val="none"/>
        </w:rPr>
        <w:t>。</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2、商业用房货币补偿款的构成：</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由商业用房评估价值、一次性搬迁费、</w:t>
      </w:r>
      <w:r>
        <w:rPr>
          <w:rFonts w:ascii="仿宋" w:hAnsi="仿宋" w:eastAsia="仿宋" w:cs="仿宋_GB2312"/>
          <w:color w:val="auto"/>
          <w:sz w:val="32"/>
          <w:szCs w:val="32"/>
          <w:highlight w:val="none"/>
        </w:rPr>
        <w:t>6个月临时过渡安置费、停产停业损失补偿、商业用房评估价值5%的奖励款构成。</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3、货币补偿款支付：实施单位应当在征地房屋搬迁腾空验收合格后，按照补偿协议约定一次性支付给房屋所有权人货币补偿款。</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（二）产权调换安置</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1.选择产权调换安置的，可按本方案规定选择确定住宅安置房屋建筑面积，安置房按套型认购后，剩余安置建筑面积由实施单位回购。在房源许可的情况下，住宅安置房套型选择时可增购不大于住宅产权调换安置建筑面积（不含奖励面积）8%的安置房建筑面积</w:t>
      </w:r>
      <w:r>
        <w:rPr>
          <w:rFonts w:hint="eastAsia" w:ascii="仿宋" w:hAnsi="仿宋" w:eastAsia="仿宋" w:cs="仿宋_GB2312"/>
          <w:color w:val="auto"/>
          <w:sz w:val="32"/>
          <w:szCs w:val="32"/>
          <w:highlight w:val="none"/>
        </w:rPr>
        <w:t>。</w:t>
      </w:r>
    </w:p>
    <w:p>
      <w:pPr>
        <w:pStyle w:val="5"/>
        <w:widowControl/>
        <w:spacing w:before="156" w:beforeLines="50" w:beforeAutospacing="0" w:after="156" w:afterLines="50" w:afterAutospacing="0" w:line="600" w:lineRule="exact"/>
        <w:ind w:firstLine="630"/>
        <w:rPr>
          <w:rFonts w:ascii="仿宋" w:hAnsi="仿宋" w:eastAsia="仿宋" w:cs="仿宋_GB2312"/>
          <w:color w:val="auto"/>
          <w:sz w:val="32"/>
          <w:szCs w:val="32"/>
          <w:highlight w:val="none"/>
        </w:rPr>
      </w:pPr>
      <w:r>
        <w:rPr>
          <w:color w:val="auto"/>
          <w:sz w:val="32"/>
          <w:szCs w:val="32"/>
          <w:highlight w:val="none"/>
        </w:rPr>
        <w:t>2.安置房源</w:t>
      </w:r>
    </w:p>
    <w:p>
      <w:pPr>
        <w:pStyle w:val="5"/>
        <w:widowControl/>
        <w:spacing w:before="156" w:beforeLines="50" w:beforeAutospacing="0" w:after="156" w:afterLines="50" w:afterAutospacing="0" w:line="600" w:lineRule="exact"/>
        <w:ind w:firstLine="640" w:firstLineChars="2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w:t>
      </w:r>
      <w:r>
        <w:rPr>
          <w:rFonts w:ascii="仿宋" w:hAnsi="仿宋" w:eastAsia="仿宋" w:cs="仿宋_GB2312"/>
          <w:color w:val="auto"/>
          <w:sz w:val="32"/>
          <w:szCs w:val="32"/>
          <w:highlight w:val="none"/>
        </w:rPr>
        <w:t>1）安置房源地址：飞云街道</w:t>
      </w:r>
      <w:r>
        <w:rPr>
          <w:rFonts w:hint="eastAsia" w:ascii="仿宋" w:hAnsi="仿宋" w:eastAsia="仿宋" w:cs="仿宋_GB2312"/>
          <w:color w:val="auto"/>
          <w:sz w:val="32"/>
          <w:szCs w:val="32"/>
          <w:highlight w:val="none"/>
        </w:rPr>
        <w:t>石碣门团块（飞云新区</w:t>
      </w:r>
      <w:r>
        <w:rPr>
          <w:rFonts w:hint="eastAsia" w:ascii="仿宋" w:hAnsi="仿宋" w:eastAsia="仿宋" w:cs="仿宋_GB2312"/>
          <w:color w:val="auto"/>
          <w:sz w:val="32"/>
          <w:szCs w:val="32"/>
          <w:highlight w:val="none"/>
          <w:lang w:val="en-US" w:eastAsia="zh-CN"/>
        </w:rPr>
        <w:t>单元</w:t>
      </w:r>
      <w:r>
        <w:rPr>
          <w:rFonts w:hint="eastAsia" w:ascii="仿宋" w:hAnsi="仿宋" w:eastAsia="仿宋" w:cs="仿宋_GB2312"/>
          <w:color w:val="auto"/>
          <w:sz w:val="32"/>
          <w:szCs w:val="32"/>
          <w:highlight w:val="none"/>
        </w:rPr>
        <w:t>控规</w:t>
      </w:r>
      <w:r>
        <w:rPr>
          <w:rFonts w:ascii="仿宋" w:hAnsi="仿宋" w:eastAsia="仿宋" w:cs="仿宋_GB2312"/>
          <w:color w:val="auto"/>
          <w:sz w:val="32"/>
          <w:szCs w:val="32"/>
          <w:highlight w:val="none"/>
        </w:rPr>
        <w:t>05-3</w:t>
      </w:r>
      <w:r>
        <w:rPr>
          <w:rFonts w:hint="eastAsia" w:ascii="仿宋" w:hAnsi="仿宋" w:eastAsia="仿宋" w:cs="仿宋_GB2312"/>
          <w:color w:val="auto"/>
          <w:sz w:val="32"/>
          <w:szCs w:val="32"/>
          <w:highlight w:val="none"/>
          <w:lang w:val="en-US" w:eastAsia="zh-CN"/>
        </w:rPr>
        <w:t>4</w:t>
      </w:r>
      <w:r>
        <w:rPr>
          <w:rFonts w:ascii="仿宋" w:hAnsi="仿宋" w:eastAsia="仿宋" w:cs="仿宋_GB2312"/>
          <w:color w:val="auto"/>
          <w:sz w:val="32"/>
          <w:szCs w:val="32"/>
          <w:highlight w:val="none"/>
        </w:rPr>
        <w:t>地块）内的新建期房</w:t>
      </w:r>
      <w:r>
        <w:rPr>
          <w:rFonts w:hint="eastAsia" w:ascii="仿宋" w:hAnsi="仿宋" w:eastAsia="仿宋" w:cs="仿宋_GB2312"/>
          <w:color w:val="auto"/>
          <w:sz w:val="32"/>
          <w:szCs w:val="32"/>
          <w:highlight w:val="none"/>
          <w:lang w:eastAsia="zh-CN"/>
        </w:rPr>
        <w:t>，</w:t>
      </w:r>
      <w:r>
        <w:rPr>
          <w:rFonts w:hint="eastAsia" w:ascii="仿宋" w:hAnsi="仿宋" w:eastAsia="仿宋" w:cs="仿宋_GB2312"/>
          <w:color w:val="auto"/>
          <w:sz w:val="32"/>
          <w:szCs w:val="32"/>
          <w:highlight w:val="none"/>
          <w:lang w:val="en-US" w:eastAsia="zh-CN"/>
        </w:rPr>
        <w:t>其中</w:t>
      </w:r>
      <w:r>
        <w:rPr>
          <w:rFonts w:ascii="仿宋" w:hAnsi="仿宋" w:eastAsia="仿宋" w:cs="仿宋_GB2312"/>
          <w:color w:val="auto"/>
          <w:sz w:val="32"/>
          <w:szCs w:val="32"/>
          <w:highlight w:val="none"/>
        </w:rPr>
        <w:t>商业用房为门面式（或商场式）商铺。</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w:t>
      </w:r>
      <w:r>
        <w:rPr>
          <w:rFonts w:ascii="仿宋" w:hAnsi="仿宋" w:eastAsia="仿宋" w:cs="仿宋_GB2312"/>
          <w:color w:val="auto"/>
          <w:sz w:val="32"/>
          <w:szCs w:val="32"/>
          <w:highlight w:val="none"/>
        </w:rPr>
        <w:t>2）安置房源建设标准及套型：安置房源土地使用权类型为国有出让，建设标准为符合建筑设计规范、工程质量标准和相应附属配套设施要求的高层建筑毛坯期房，安置房套型建筑面积分别为80平方米、100平方米、120平方米、140平方米左右四档套型，</w:t>
      </w:r>
      <w:r>
        <w:rPr>
          <w:rFonts w:hint="eastAsia" w:ascii="仿宋" w:hAnsi="仿宋" w:eastAsia="仿宋" w:cs="仿宋_GB2312"/>
          <w:color w:val="auto"/>
          <w:sz w:val="32"/>
          <w:szCs w:val="32"/>
          <w:highlight w:val="none"/>
        </w:rPr>
        <w:t>具体以安置房竣工后实测建筑面积为准。</w:t>
      </w:r>
    </w:p>
    <w:p>
      <w:pPr>
        <w:pStyle w:val="5"/>
        <w:widowControl/>
        <w:spacing w:before="156" w:beforeLines="50" w:beforeAutospacing="0" w:after="156" w:afterLines="50" w:afterAutospacing="0" w:line="600" w:lineRule="exact"/>
        <w:ind w:firstLine="630"/>
        <w:jc w:val="both"/>
        <w:rPr>
          <w:rFonts w:ascii="仿宋" w:hAnsi="仿宋" w:eastAsia="仿宋" w:cs="仿宋_GB2312"/>
          <w:bCs/>
          <w:color w:val="auto"/>
          <w:sz w:val="32"/>
          <w:szCs w:val="32"/>
          <w:highlight w:val="none"/>
        </w:rPr>
      </w:pPr>
      <w:r>
        <w:rPr>
          <w:rStyle w:val="8"/>
          <w:rFonts w:ascii="仿宋" w:hAnsi="仿宋" w:eastAsia="仿宋" w:cs="仿宋_GB2312"/>
          <w:b w:val="0"/>
          <w:bCs/>
          <w:color w:val="auto"/>
          <w:sz w:val="32"/>
          <w:szCs w:val="32"/>
          <w:highlight w:val="none"/>
        </w:rPr>
        <w:t>3.安置房价格与购房款结算标准</w:t>
      </w:r>
    </w:p>
    <w:p>
      <w:pPr>
        <w:pStyle w:val="5"/>
        <w:widowControl/>
        <w:spacing w:before="156" w:beforeLines="50" w:beforeAutospacing="0" w:after="156" w:afterLines="50" w:afterAutospacing="0" w:line="600" w:lineRule="exact"/>
        <w:ind w:firstLine="615"/>
        <w:jc w:val="both"/>
        <w:rPr>
          <w:rFonts w:ascii="仿宋" w:hAnsi="仿宋" w:eastAsia="仿宋" w:cs="仿宋_GB2312"/>
          <w:b/>
          <w:bCs/>
          <w:color w:val="auto"/>
          <w:sz w:val="32"/>
          <w:szCs w:val="32"/>
          <w:highlight w:val="none"/>
        </w:rPr>
      </w:pPr>
      <w:r>
        <w:rPr>
          <w:rFonts w:hint="eastAsia" w:ascii="仿宋" w:hAnsi="仿宋" w:eastAsia="仿宋" w:cs="仿宋_GB2312"/>
          <w:color w:val="auto"/>
          <w:sz w:val="32"/>
          <w:szCs w:val="32"/>
          <w:highlight w:val="none"/>
        </w:rPr>
        <w:t>（</w:t>
      </w:r>
      <w:r>
        <w:rPr>
          <w:rFonts w:ascii="仿宋" w:hAnsi="仿宋" w:eastAsia="仿宋" w:cs="仿宋_GB2312"/>
          <w:color w:val="auto"/>
          <w:sz w:val="32"/>
          <w:szCs w:val="32"/>
          <w:highlight w:val="none"/>
        </w:rPr>
        <w:t>1）住宅安置房价格</w:t>
      </w:r>
      <w:r>
        <w:rPr>
          <w:rFonts w:hint="eastAsia" w:ascii="仿宋" w:hAnsi="仿宋" w:eastAsia="仿宋" w:cs="仿宋_GB2312"/>
          <w:color w:val="auto"/>
          <w:sz w:val="32"/>
          <w:szCs w:val="32"/>
          <w:highlight w:val="none"/>
        </w:rPr>
        <w:t>：以</w:t>
      </w:r>
      <w:r>
        <w:rPr>
          <w:rFonts w:ascii="仿宋" w:hAnsi="仿宋" w:eastAsia="仿宋" w:cs="仿宋_GB2312"/>
          <w:color w:val="auto"/>
          <w:sz w:val="32"/>
          <w:szCs w:val="32"/>
          <w:highlight w:val="none"/>
        </w:rPr>
        <w:t>5000元/㎡为</w:t>
      </w:r>
      <w:r>
        <w:rPr>
          <w:rFonts w:hint="eastAsia" w:ascii="仿宋" w:hAnsi="仿宋" w:eastAsia="仿宋"/>
          <w:color w:val="auto"/>
          <w:sz w:val="32"/>
          <w:szCs w:val="32"/>
          <w:highlight w:val="none"/>
        </w:rPr>
        <w:t>均价</w:t>
      </w:r>
      <w:r>
        <w:rPr>
          <w:rFonts w:hint="eastAsia" w:ascii="仿宋" w:hAnsi="仿宋" w:eastAsia="仿宋" w:cs="仿宋_GB2312"/>
          <w:color w:val="auto"/>
          <w:sz w:val="32"/>
          <w:szCs w:val="32"/>
          <w:highlight w:val="none"/>
        </w:rPr>
        <w:t>，具体房源价格结合安置房位置、楼层、朝向等差价，实行一房一价，</w:t>
      </w:r>
      <w:r>
        <w:rPr>
          <w:rFonts w:hint="eastAsia" w:ascii="仿宋" w:hAnsi="仿宋" w:eastAsia="仿宋"/>
          <w:color w:val="auto"/>
          <w:sz w:val="32"/>
          <w:szCs w:val="32"/>
          <w:highlight w:val="none"/>
        </w:rPr>
        <w:t>由具有相应资质的房地产价格评估机构评估确定，实施单位</w:t>
      </w:r>
      <w:r>
        <w:rPr>
          <w:rFonts w:hint="eastAsia" w:ascii="仿宋" w:hAnsi="仿宋" w:eastAsia="仿宋" w:cs="仿宋_GB2312"/>
          <w:color w:val="auto"/>
          <w:sz w:val="32"/>
          <w:szCs w:val="32"/>
          <w:highlight w:val="none"/>
        </w:rPr>
        <w:t>在安置房认购定位前向房屋所有权人公开。具体购房款结合实际建筑面积按照有关结算标准进行结算。</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w:t>
      </w:r>
      <w:r>
        <w:rPr>
          <w:rFonts w:ascii="仿宋" w:hAnsi="仿宋" w:eastAsia="仿宋" w:cs="仿宋_GB2312"/>
          <w:color w:val="auto"/>
          <w:sz w:val="32"/>
          <w:szCs w:val="32"/>
          <w:highlight w:val="none"/>
        </w:rPr>
        <w:t>2）购房款结算标准：</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①选择套型建筑面积在产权调换安置建筑面积内的，按</w:t>
      </w:r>
      <w:r>
        <w:rPr>
          <w:rFonts w:ascii="仿宋" w:hAnsi="仿宋" w:eastAsia="仿宋" w:cs="仿宋_GB2312"/>
          <w:color w:val="auto"/>
          <w:sz w:val="32"/>
          <w:szCs w:val="32"/>
          <w:highlight w:val="none"/>
        </w:rPr>
        <w:t>5000元/平方米+位置、楼层、朝向等差价结算；</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②选择套型建筑面积大于产权调换安置建筑面积且在增购面积标准内的，其增购部分面积按</w:t>
      </w:r>
      <w:r>
        <w:rPr>
          <w:rFonts w:hint="eastAsia" w:ascii="仿宋" w:hAnsi="仿宋" w:eastAsia="仿宋" w:cs="仿宋_GB2312"/>
          <w:color w:val="auto"/>
          <w:sz w:val="32"/>
          <w:szCs w:val="32"/>
          <w:highlight w:val="none"/>
          <w:lang w:val="en-US" w:eastAsia="zh-CN"/>
        </w:rPr>
        <w:t>5000</w:t>
      </w:r>
      <w:r>
        <w:rPr>
          <w:rFonts w:hint="eastAsia" w:ascii="仿宋" w:hAnsi="仿宋" w:eastAsia="仿宋" w:cs="仿宋_GB2312"/>
          <w:color w:val="auto"/>
          <w:sz w:val="32"/>
          <w:szCs w:val="32"/>
          <w:highlight w:val="none"/>
        </w:rPr>
        <w:t>元</w:t>
      </w:r>
      <w:r>
        <w:rPr>
          <w:rFonts w:ascii="仿宋" w:hAnsi="仿宋" w:eastAsia="仿宋" w:cs="仿宋_GB2312"/>
          <w:color w:val="auto"/>
          <w:sz w:val="32"/>
          <w:szCs w:val="32"/>
          <w:highlight w:val="none"/>
        </w:rPr>
        <w:t>/平方米</w:t>
      </w:r>
      <w:r>
        <w:rPr>
          <w:rFonts w:hint="eastAsia" w:ascii="仿宋" w:hAnsi="仿宋" w:eastAsia="仿宋" w:cs="仿宋_GB2312"/>
          <w:color w:val="auto"/>
          <w:sz w:val="32"/>
          <w:szCs w:val="32"/>
          <w:highlight w:val="none"/>
          <w:lang w:val="en-US" w:eastAsia="zh-CN"/>
        </w:rPr>
        <w:t>+回购单价</w:t>
      </w:r>
      <w:r>
        <w:rPr>
          <w:rFonts w:ascii="仿宋" w:hAnsi="仿宋" w:eastAsia="仿宋" w:cs="仿宋_GB2312"/>
          <w:color w:val="auto"/>
          <w:sz w:val="32"/>
          <w:szCs w:val="32"/>
          <w:highlight w:val="none"/>
        </w:rPr>
        <w:t>+位置、楼层、朝向等差价结算；</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③选择套型建筑面积超出允许增购面积标准部分的建筑面积，按</w:t>
      </w:r>
      <w:r>
        <w:rPr>
          <w:rFonts w:hint="eastAsia" w:ascii="仿宋" w:hAnsi="仿宋" w:eastAsia="仿宋" w:cs="仿宋_GB2312"/>
          <w:color w:val="auto"/>
          <w:sz w:val="32"/>
          <w:szCs w:val="32"/>
          <w:highlight w:val="none"/>
          <w:lang w:val="en-US" w:eastAsia="zh-CN"/>
        </w:rPr>
        <w:t>6</w:t>
      </w:r>
      <w:r>
        <w:rPr>
          <w:rFonts w:ascii="仿宋" w:hAnsi="仿宋" w:eastAsia="仿宋" w:cs="仿宋_GB2312"/>
          <w:color w:val="auto"/>
          <w:sz w:val="32"/>
          <w:szCs w:val="32"/>
          <w:highlight w:val="none"/>
        </w:rPr>
        <w:t>740</w:t>
      </w:r>
      <w:r>
        <w:rPr>
          <w:rFonts w:hint="eastAsia" w:ascii="仿宋" w:hAnsi="仿宋" w:eastAsia="仿宋" w:cs="仿宋_GB2312"/>
          <w:color w:val="auto"/>
          <w:sz w:val="32"/>
          <w:szCs w:val="32"/>
          <w:highlight w:val="none"/>
        </w:rPr>
        <w:t>元</w:t>
      </w:r>
      <w:r>
        <w:rPr>
          <w:rFonts w:ascii="仿宋" w:hAnsi="仿宋" w:eastAsia="仿宋" w:cs="仿宋_GB2312"/>
          <w:color w:val="auto"/>
          <w:sz w:val="32"/>
          <w:szCs w:val="32"/>
          <w:highlight w:val="none"/>
        </w:rPr>
        <w:t>/平方米</w:t>
      </w:r>
      <w:r>
        <w:rPr>
          <w:rFonts w:hint="eastAsia" w:ascii="仿宋" w:hAnsi="仿宋" w:eastAsia="仿宋" w:cs="仿宋_GB2312"/>
          <w:color w:val="auto"/>
          <w:sz w:val="32"/>
          <w:szCs w:val="32"/>
          <w:highlight w:val="none"/>
          <w:lang w:val="en-US" w:eastAsia="zh-CN"/>
        </w:rPr>
        <w:t>+回购单价</w:t>
      </w:r>
      <w:r>
        <w:rPr>
          <w:rFonts w:ascii="仿宋" w:hAnsi="仿宋" w:eastAsia="仿宋" w:cs="仿宋_GB2312"/>
          <w:color w:val="auto"/>
          <w:sz w:val="32"/>
          <w:szCs w:val="32"/>
          <w:highlight w:val="none"/>
        </w:rPr>
        <w:t>+位置、楼层、朝向等差价结算；</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w:t>
      </w:r>
      <w:r>
        <w:rPr>
          <w:rFonts w:ascii="仿宋" w:hAnsi="仿宋" w:eastAsia="仿宋" w:cs="仿宋_GB2312"/>
          <w:color w:val="auto"/>
          <w:sz w:val="32"/>
          <w:szCs w:val="32"/>
          <w:highlight w:val="none"/>
        </w:rPr>
        <w:t>3）商业用房安置房房款结算价格按由房地产评估机构评估确定的市场评估价结算，实行一房一价。</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4.剩余安置建筑面积回购：房屋所有权人安置房按套型认购后，剩余安置建筑面积由实施单位回购，剩余安置建筑面积回购款=剩余安置建筑面积×</w:t>
      </w:r>
      <w:r>
        <w:rPr>
          <w:rFonts w:hint="eastAsia" w:ascii="仿宋" w:hAnsi="仿宋" w:eastAsia="仿宋" w:cs="仿宋_GB2312"/>
          <w:color w:val="auto"/>
          <w:sz w:val="32"/>
          <w:szCs w:val="32"/>
          <w:highlight w:val="none"/>
        </w:rPr>
        <w:t>回购单价</w:t>
      </w:r>
      <w:r>
        <w:rPr>
          <w:rFonts w:ascii="仿宋" w:hAnsi="仿宋" w:eastAsia="仿宋" w:cs="仿宋_GB2312"/>
          <w:color w:val="auto"/>
          <w:sz w:val="32"/>
          <w:szCs w:val="32"/>
          <w:highlight w:val="none"/>
        </w:rPr>
        <w:t>。</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5.产权调换安置房房款的交纳：房屋重置成新价、其他补偿费和剩余安置建筑面积回购款等直接转为第一期购房款，补偿款超出安置房总房款的部分返还给房屋所有权人；第二期购房款待安置房主体结构结顶后，交纳购房款总额60%的差额；第三期购房款待安置房主体工程预验收后，交纳购房款总额90%的差额；余款待安置房竣工交付时结清（具体交款时间以交款通知或公告为准）。</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八、房地产评估机构的选择方式</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房地产评估机构由房屋所有权人协商选定；房屋补偿安置方案公告后十日内仍不能协商选定的，由实施单位按照摇号方式随机确定。</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九、</w:t>
      </w:r>
      <w:r>
        <w:rPr>
          <w:rStyle w:val="8"/>
          <w:rFonts w:hint="eastAsia" w:ascii="仿宋" w:hAnsi="仿宋" w:eastAsia="仿宋" w:cs="仿宋_GB2312"/>
          <w:b w:val="0"/>
          <w:color w:val="auto"/>
          <w:sz w:val="32"/>
          <w:szCs w:val="32"/>
          <w:highlight w:val="none"/>
        </w:rPr>
        <w:t>安置事项</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（一）安置房源认购办法</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1.安置房认购定位原则。以签订《房屋补偿安置协议书》、房屋搬迁腾空及交纳购房款的时间先后顺序综合得分进行排序，按得分高低确定认购定位轮次，先由第一轮次在相应房源中认购定位，第一轮次认购完毕，再由第二轮次认购定位，依次类推，在同一轮次的以抽签或摇号方式确定认购定位顺序。具体定位办法由市政府另行确定。</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2.评分办法：总分数为100分，其中按时签订《房屋补偿安置协议书》的为40分，按时搬迁腾空并经验收合格的为40分，按期如数交纳购房款的为20分。</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签订《房屋补偿安置协议书》得分：在签约期限内签订征地房屋补偿协议书的得</w:t>
      </w:r>
      <w:r>
        <w:rPr>
          <w:rFonts w:ascii="仿宋" w:hAnsi="仿宋" w:eastAsia="仿宋" w:cs="仿宋_GB2312"/>
          <w:color w:val="auto"/>
          <w:sz w:val="32"/>
          <w:szCs w:val="32"/>
          <w:highlight w:val="none"/>
        </w:rPr>
        <w:t>40分；逾期签订的，每逾期一天扣4分，扣完为止。</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搬迁腾空得分：在规定的期限内搬迁腾空并经验收合格的得</w:t>
      </w:r>
      <w:r>
        <w:rPr>
          <w:rFonts w:ascii="仿宋" w:hAnsi="仿宋" w:eastAsia="仿宋" w:cs="仿宋_GB2312"/>
          <w:color w:val="auto"/>
          <w:sz w:val="32"/>
          <w:szCs w:val="32"/>
          <w:highlight w:val="none"/>
        </w:rPr>
        <w:t>40分；逾期腾空的，每逾期一天扣2分，扣完为止。</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交纳购房款得分：在规定的期限内交足购房款的得</w:t>
      </w:r>
      <w:r>
        <w:rPr>
          <w:rFonts w:ascii="仿宋" w:hAnsi="仿宋" w:eastAsia="仿宋" w:cs="仿宋_GB2312"/>
          <w:color w:val="auto"/>
          <w:sz w:val="32"/>
          <w:szCs w:val="32"/>
          <w:highlight w:val="none"/>
        </w:rPr>
        <w:t>20分；逾期交款的，每逾期一天扣2分，扣完为止。</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（二）安置房房源设施权属和其他事项</w:t>
      </w:r>
    </w:p>
    <w:p>
      <w:pPr>
        <w:pStyle w:val="5"/>
        <w:widowControl/>
        <w:spacing w:before="156" w:beforeLines="50" w:beforeAutospacing="0" w:after="156" w:afterLines="50" w:afterAutospacing="0" w:line="600" w:lineRule="exact"/>
        <w:ind w:firstLine="615"/>
        <w:jc w:val="both"/>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1.安置房源的地下室停车位及地下空间权属归市政府指定的房源建设单位所有。选择产权调换的房屋所有权人每套住宅安置用房可优先配购1个地下停车位。地下室停车位随同选房时定位，均价为6万元/个。具体定位办法另行确定。</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2.房屋所有权人在安置房交付时应当按规定标准缴纳物业维修资金，签订首期物业服务合同，并缴纳物业管理服务费等相关费用。首期物业服务单位由房源建设单位根据相关规定选聘。煤气、水、电初（报）装费等费用，按规定由房屋所有权人负担。</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十、其他事项</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一）房屋所有权人应在本方案规定的签约期限内凭《不动产权证书》、《房屋所有权证》、《土地使用权证》或其他合法有效凭证、身份证等，与实施单位签订房屋补偿安置协议书。协议签订时，房屋所有权人应将《不动产权证书》、《房屋所有权证》、《土地使用权证》及有关证件、身份证明等相关材料交由实施单位，由实施单位统一向不动产登记机构办理不动产权、房屋所有权、土地使用权注销登记手续。</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（二）实施单位与房屋所有权人依照本方案就补偿方式、补偿金额和支付期限、安置方式、安置地点和面积、过渡方式、过渡期限和违约责任等事项，签订《房屋补偿安置协议书》。</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（三）本补偿方案确定的签约期限内，房屋补偿签约率达到</w:t>
      </w:r>
      <w:r>
        <w:rPr>
          <w:rFonts w:ascii="仿宋" w:hAnsi="仿宋" w:eastAsia="仿宋" w:cs="仿宋_GB2312"/>
          <w:color w:val="auto"/>
          <w:sz w:val="32"/>
          <w:szCs w:val="32"/>
          <w:highlight w:val="none"/>
        </w:rPr>
        <w:t>90%签约比例，补偿协议生效；未达到90%签约比例，补偿协议不生效。补偿方案效力终止的，由市政府予以公告，并书面告知房屋所有权人。</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（四）实施单位与房屋所有权人未签订房屋补偿安置协议的，或者房屋所有权人不明确的，由市政府作出征地补偿安置决定，依法申请法院强制执行。</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（五）拆除有产权、使用权纠纷或者其他产权不明的房屋，在本方案确定的签约期限内不能解决纠纷或者明晰产权、使用权的，在房屋拆除前，由实施单位向公证机关办理证据保全手续。</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（六）房屋所有权人应当按规定的期限签订《房屋补偿安置协议书》，并在搬迁腾空公告规定的期限内完成搬迁，办理房屋腾空移交手续，将征地房屋交给实施单位验收接管，由实施单位统一组织拆除。</w:t>
      </w:r>
    </w:p>
    <w:p>
      <w:pPr>
        <w:pStyle w:val="5"/>
        <w:widowControl/>
        <w:spacing w:before="156" w:beforeLines="50" w:beforeAutospacing="0" w:after="156" w:afterLines="50" w:afterAutospacing="0" w:line="600" w:lineRule="exact"/>
        <w:ind w:firstLine="61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（七）本方案自发布之日起施行，未尽事宜由市政府另作补充规定。</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9705" cy="139700"/>
              <wp:effectExtent l="0" t="0" r="4445" b="6350"/>
              <wp:wrapNone/>
              <wp:docPr id="1" name="文本框 1"/>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6350">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4.15pt;mso-position-horizontal:center;mso-position-horizontal-relative:margin;mso-wrap-style:none;z-index:251659264;mso-width-relative:page;mso-height-relative:page;" filled="f" stroked="f" coordsize="21600,21600" o:gfxdata="UEsDBAoAAAAAAIdO4kAAAAAAAAAAAAAAAAAEAAAAZHJzL1BLAwQUAAAACACHTuJAjHyBjdEAAAAD&#10;AQAADwAAAGRycy9kb3ducmV2LnhtbE2PQU/DMAyF70j8h8hI3FiyDqGpNJ3ERDkisXLgmDWmLSRO&#10;lWRd+fcYLnDxk/Ws9z5Xu8U7MWNMYyAN65UCgdQFO1Kv4bVtbrYgUjZkjQuEGr4wwa6+vKhMacOZ&#10;XnA+5F5wCKXSaBhynkopUzegN2kVJiT23kP0JvMae2mjOXO4d7JQ6k56MxI3DGbC/YDd5+HkNeyb&#10;to0zpuje8KnZfDw/3OLjovX11Vrdg8i45L9j+MFndKiZ6RhOZJNwGviR/DvZK7YbEEfWQoGsK/mf&#10;vf4GUEsDBBQAAAAIAIdO4kDEO5XeLAIAAFMEAAAOAAAAZHJzL2Uyb0RvYy54bWytVMtuEzEU3SPx&#10;D5b3ZCat2kKUSRUaBSFFtFJArB2PJzOSX7KdzIQPgD9gxYY935Xv4NgzSVFh0QUb54zv85x7nelt&#10;pyTZC+cbows6HuWUCM1N2ehtQT99XL56TYkPTJdMGi0KehCe3s5evpi2diIuTG1kKRxBEu0nrS1o&#10;HYKdZJnntVDMj4wVGsbKOMUCPt02Kx1rkV3J7CLPr7PWuNI6w4X3uF30RjpkdM9JaKqq4WJh+E4J&#10;HfqsTkgWQMnXjfV0lrqtKsHDfVV5EYgsKJiGdKII8Cae2WzKJlvHbN3woQX2nBaecFKs0Sh6TrVg&#10;gZGda/5KpRrujDdVGHGjsp5IUgQsxvkTbdY1syJxgdTenkX3/y8t/7B/cKQpsQmUaKYw8OP3b8cf&#10;v44/v5JxlKe1fgKvtYVf6N6aLroO9x6XkXVXORV/wYfADnEPZ3FFFwiPQTdvbvIrSjhM40vgJH72&#10;GGydD++EUSSCgjrMLknK9isfUBCuJ5dYS5tlI2Wan9SkLej15VWeAs4WREiNwEihbzWi0G26of+N&#10;KQ+g5Uy/F97yZYPiK+bDA3NYBDDBUwn3OCppUMQMiJLauC//uo/+mA+slLRYrIJqvCNK5HuNucUd&#10;PAF3ApsT0Dt1Z7CpmAV6SRABLsgTrJxRn/F+5rEGTExzVCpoOMG70C833h8X83lywqZZFlZ6bXlM&#10;HcXzdr4LEDDpGkXplRi0wq4luYd3EZf5z+/k9fhfMPs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jHyBjdEAAAADAQAADwAAAAAAAAABACAAAAAiAAAAZHJzL2Rvd25yZXYueG1sUEsBAhQAFAAAAAgA&#10;h07iQMQ7ld4sAgAAUwQAAA4AAAAAAAAAAQAgAAAAIAEAAGRycy9lMm9Eb2MueG1sUEsFBgAAAAAG&#10;AAYAWQEAAL4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ZTZhOTM4NzMwMDc0NGNiZDU1MzljMzU4MWExMGQifQ=="/>
    <w:docVar w:name="KSO_WPS_MARK_KEY" w:val="cfa83f87-bb75-4eee-8719-adcbccfb0ea5"/>
  </w:docVars>
  <w:rsids>
    <w:rsidRoot w:val="003231AC"/>
    <w:rsid w:val="00013404"/>
    <w:rsid w:val="0003083C"/>
    <w:rsid w:val="00041184"/>
    <w:rsid w:val="000719DE"/>
    <w:rsid w:val="000974EF"/>
    <w:rsid w:val="000C4AB4"/>
    <w:rsid w:val="00100C68"/>
    <w:rsid w:val="00114302"/>
    <w:rsid w:val="0015671D"/>
    <w:rsid w:val="00173133"/>
    <w:rsid w:val="00183789"/>
    <w:rsid w:val="001B3487"/>
    <w:rsid w:val="001B56B6"/>
    <w:rsid w:val="00283838"/>
    <w:rsid w:val="0028583D"/>
    <w:rsid w:val="00290890"/>
    <w:rsid w:val="002B5FE0"/>
    <w:rsid w:val="002C0812"/>
    <w:rsid w:val="002C3C79"/>
    <w:rsid w:val="00302129"/>
    <w:rsid w:val="003223CF"/>
    <w:rsid w:val="003231AC"/>
    <w:rsid w:val="00354177"/>
    <w:rsid w:val="00366095"/>
    <w:rsid w:val="003906CB"/>
    <w:rsid w:val="003A4274"/>
    <w:rsid w:val="003D3325"/>
    <w:rsid w:val="003D58C6"/>
    <w:rsid w:val="003E6D54"/>
    <w:rsid w:val="003F571A"/>
    <w:rsid w:val="00420C8B"/>
    <w:rsid w:val="00422FE6"/>
    <w:rsid w:val="00431975"/>
    <w:rsid w:val="0044345D"/>
    <w:rsid w:val="00446FA9"/>
    <w:rsid w:val="00471771"/>
    <w:rsid w:val="00473D39"/>
    <w:rsid w:val="00484D07"/>
    <w:rsid w:val="004C5E84"/>
    <w:rsid w:val="004E4B66"/>
    <w:rsid w:val="00510ACA"/>
    <w:rsid w:val="00512D2B"/>
    <w:rsid w:val="00531A84"/>
    <w:rsid w:val="00551781"/>
    <w:rsid w:val="00552952"/>
    <w:rsid w:val="005720BF"/>
    <w:rsid w:val="00575513"/>
    <w:rsid w:val="00585491"/>
    <w:rsid w:val="005A1EFF"/>
    <w:rsid w:val="005B0D2B"/>
    <w:rsid w:val="005B35CF"/>
    <w:rsid w:val="005E3ACD"/>
    <w:rsid w:val="00632A30"/>
    <w:rsid w:val="00651C66"/>
    <w:rsid w:val="006814D1"/>
    <w:rsid w:val="00686575"/>
    <w:rsid w:val="00694861"/>
    <w:rsid w:val="006B22CA"/>
    <w:rsid w:val="006B3C79"/>
    <w:rsid w:val="006D2780"/>
    <w:rsid w:val="006E7A8A"/>
    <w:rsid w:val="00722420"/>
    <w:rsid w:val="00723AF0"/>
    <w:rsid w:val="00727F09"/>
    <w:rsid w:val="00747249"/>
    <w:rsid w:val="00761195"/>
    <w:rsid w:val="007B6F66"/>
    <w:rsid w:val="00824625"/>
    <w:rsid w:val="00831AE0"/>
    <w:rsid w:val="00835A29"/>
    <w:rsid w:val="008467E4"/>
    <w:rsid w:val="00851CBA"/>
    <w:rsid w:val="008A41C7"/>
    <w:rsid w:val="008A4539"/>
    <w:rsid w:val="008C0955"/>
    <w:rsid w:val="008E2F57"/>
    <w:rsid w:val="0092431F"/>
    <w:rsid w:val="009304EA"/>
    <w:rsid w:val="00956652"/>
    <w:rsid w:val="009611D9"/>
    <w:rsid w:val="009968D0"/>
    <w:rsid w:val="0099726A"/>
    <w:rsid w:val="009A1F78"/>
    <w:rsid w:val="009B1FAA"/>
    <w:rsid w:val="009B5E19"/>
    <w:rsid w:val="009D627B"/>
    <w:rsid w:val="009E3D92"/>
    <w:rsid w:val="009E4363"/>
    <w:rsid w:val="00A503B7"/>
    <w:rsid w:val="00AC2105"/>
    <w:rsid w:val="00B02324"/>
    <w:rsid w:val="00B12C72"/>
    <w:rsid w:val="00B63147"/>
    <w:rsid w:val="00B677F1"/>
    <w:rsid w:val="00B8171A"/>
    <w:rsid w:val="00B826BE"/>
    <w:rsid w:val="00B82DF3"/>
    <w:rsid w:val="00B87F7D"/>
    <w:rsid w:val="00BA4350"/>
    <w:rsid w:val="00BD4EAD"/>
    <w:rsid w:val="00BE0134"/>
    <w:rsid w:val="00C00CEB"/>
    <w:rsid w:val="00C06F5B"/>
    <w:rsid w:val="00C13388"/>
    <w:rsid w:val="00C147B0"/>
    <w:rsid w:val="00C22584"/>
    <w:rsid w:val="00C460D9"/>
    <w:rsid w:val="00CC415C"/>
    <w:rsid w:val="00D21704"/>
    <w:rsid w:val="00D4599A"/>
    <w:rsid w:val="00DD402F"/>
    <w:rsid w:val="00E06C65"/>
    <w:rsid w:val="00E258B3"/>
    <w:rsid w:val="00E51A03"/>
    <w:rsid w:val="00E73211"/>
    <w:rsid w:val="00E971A9"/>
    <w:rsid w:val="00EC5583"/>
    <w:rsid w:val="00EE4B41"/>
    <w:rsid w:val="00F10102"/>
    <w:rsid w:val="00FE09F6"/>
    <w:rsid w:val="00FF2AA5"/>
    <w:rsid w:val="00FF5D6E"/>
    <w:rsid w:val="01194A5F"/>
    <w:rsid w:val="022E23EF"/>
    <w:rsid w:val="027943AC"/>
    <w:rsid w:val="0289024A"/>
    <w:rsid w:val="02BA6921"/>
    <w:rsid w:val="02F7235F"/>
    <w:rsid w:val="02FE0EDA"/>
    <w:rsid w:val="03AE6464"/>
    <w:rsid w:val="047D5977"/>
    <w:rsid w:val="05807DD9"/>
    <w:rsid w:val="068C2CB8"/>
    <w:rsid w:val="07334E57"/>
    <w:rsid w:val="082F7D0A"/>
    <w:rsid w:val="08A94BD9"/>
    <w:rsid w:val="0906513C"/>
    <w:rsid w:val="092B4433"/>
    <w:rsid w:val="0A5D4CCD"/>
    <w:rsid w:val="0A724DA4"/>
    <w:rsid w:val="0AD528BF"/>
    <w:rsid w:val="0AEA037D"/>
    <w:rsid w:val="0D4E7D21"/>
    <w:rsid w:val="0D705ED6"/>
    <w:rsid w:val="0D747C5F"/>
    <w:rsid w:val="0F562AD3"/>
    <w:rsid w:val="10051416"/>
    <w:rsid w:val="10946AC6"/>
    <w:rsid w:val="109741A8"/>
    <w:rsid w:val="115B0705"/>
    <w:rsid w:val="118E7BED"/>
    <w:rsid w:val="11994B00"/>
    <w:rsid w:val="11AE09D9"/>
    <w:rsid w:val="12CA2EE6"/>
    <w:rsid w:val="13421764"/>
    <w:rsid w:val="13584047"/>
    <w:rsid w:val="14770D58"/>
    <w:rsid w:val="15E65C89"/>
    <w:rsid w:val="167D56F6"/>
    <w:rsid w:val="16CC0FB5"/>
    <w:rsid w:val="16E41E9F"/>
    <w:rsid w:val="175532A2"/>
    <w:rsid w:val="175E4CF2"/>
    <w:rsid w:val="1799191D"/>
    <w:rsid w:val="184C7FE9"/>
    <w:rsid w:val="18BB1160"/>
    <w:rsid w:val="191708CE"/>
    <w:rsid w:val="192F7460"/>
    <w:rsid w:val="1ABB3D5E"/>
    <w:rsid w:val="1ABB4C30"/>
    <w:rsid w:val="1C6A5590"/>
    <w:rsid w:val="1C7E0E56"/>
    <w:rsid w:val="1CC83D3D"/>
    <w:rsid w:val="1CDF14AD"/>
    <w:rsid w:val="1D181986"/>
    <w:rsid w:val="1D9A42A9"/>
    <w:rsid w:val="1ED939B6"/>
    <w:rsid w:val="1F715181"/>
    <w:rsid w:val="1F863B7C"/>
    <w:rsid w:val="1FFD01A5"/>
    <w:rsid w:val="2014316B"/>
    <w:rsid w:val="201F22D1"/>
    <w:rsid w:val="208C29D0"/>
    <w:rsid w:val="20E858B7"/>
    <w:rsid w:val="21987008"/>
    <w:rsid w:val="21A117BE"/>
    <w:rsid w:val="238147E7"/>
    <w:rsid w:val="24864C7D"/>
    <w:rsid w:val="24FF7F8B"/>
    <w:rsid w:val="253A7672"/>
    <w:rsid w:val="25413D92"/>
    <w:rsid w:val="26205BC4"/>
    <w:rsid w:val="26376C96"/>
    <w:rsid w:val="265023FE"/>
    <w:rsid w:val="28215AE2"/>
    <w:rsid w:val="282E2D24"/>
    <w:rsid w:val="29652F2B"/>
    <w:rsid w:val="299D1B7D"/>
    <w:rsid w:val="2A0D583B"/>
    <w:rsid w:val="2A392172"/>
    <w:rsid w:val="2A466B8E"/>
    <w:rsid w:val="2A720B94"/>
    <w:rsid w:val="2A9C480A"/>
    <w:rsid w:val="2B2571FD"/>
    <w:rsid w:val="2DBB2CD6"/>
    <w:rsid w:val="2EA859F1"/>
    <w:rsid w:val="2F287FB1"/>
    <w:rsid w:val="2FF07C07"/>
    <w:rsid w:val="303A2B0C"/>
    <w:rsid w:val="31F358BC"/>
    <w:rsid w:val="322F37B9"/>
    <w:rsid w:val="3389150E"/>
    <w:rsid w:val="33DF4842"/>
    <w:rsid w:val="34F606E7"/>
    <w:rsid w:val="350742C1"/>
    <w:rsid w:val="36EF625C"/>
    <w:rsid w:val="374C1890"/>
    <w:rsid w:val="384E3058"/>
    <w:rsid w:val="38D020C1"/>
    <w:rsid w:val="38EB51E5"/>
    <w:rsid w:val="39DA35CB"/>
    <w:rsid w:val="3A182825"/>
    <w:rsid w:val="3AB5033C"/>
    <w:rsid w:val="3AF9529E"/>
    <w:rsid w:val="3C7845D3"/>
    <w:rsid w:val="3D0344E8"/>
    <w:rsid w:val="3E4C40B9"/>
    <w:rsid w:val="3E6745F4"/>
    <w:rsid w:val="3F63750A"/>
    <w:rsid w:val="3FC36380"/>
    <w:rsid w:val="40730FDE"/>
    <w:rsid w:val="41104DC8"/>
    <w:rsid w:val="413669EA"/>
    <w:rsid w:val="418B5EB0"/>
    <w:rsid w:val="41DE0A11"/>
    <w:rsid w:val="428D4AF4"/>
    <w:rsid w:val="42946582"/>
    <w:rsid w:val="42F60B5D"/>
    <w:rsid w:val="432070A7"/>
    <w:rsid w:val="453408D2"/>
    <w:rsid w:val="461C1C19"/>
    <w:rsid w:val="46511BFF"/>
    <w:rsid w:val="468B7CE3"/>
    <w:rsid w:val="47F76182"/>
    <w:rsid w:val="485F187A"/>
    <w:rsid w:val="48825F81"/>
    <w:rsid w:val="48DF5376"/>
    <w:rsid w:val="48EA6E90"/>
    <w:rsid w:val="49593CD7"/>
    <w:rsid w:val="49C7231B"/>
    <w:rsid w:val="4A442A5A"/>
    <w:rsid w:val="4A57469A"/>
    <w:rsid w:val="4A9B6DDF"/>
    <w:rsid w:val="4B2C16C7"/>
    <w:rsid w:val="4B451888"/>
    <w:rsid w:val="4B687C48"/>
    <w:rsid w:val="4BCA2166"/>
    <w:rsid w:val="4CA7503E"/>
    <w:rsid w:val="4D4003A1"/>
    <w:rsid w:val="4D7859C3"/>
    <w:rsid w:val="4D9108A7"/>
    <w:rsid w:val="4DBC6DCC"/>
    <w:rsid w:val="4E03636E"/>
    <w:rsid w:val="4EB20D3F"/>
    <w:rsid w:val="4F765C05"/>
    <w:rsid w:val="4FDE446D"/>
    <w:rsid w:val="50852754"/>
    <w:rsid w:val="508D37DA"/>
    <w:rsid w:val="50FE331D"/>
    <w:rsid w:val="51265289"/>
    <w:rsid w:val="5135736D"/>
    <w:rsid w:val="518721A2"/>
    <w:rsid w:val="52185454"/>
    <w:rsid w:val="527D27D6"/>
    <w:rsid w:val="53962F5A"/>
    <w:rsid w:val="53C97364"/>
    <w:rsid w:val="53E75204"/>
    <w:rsid w:val="542D71AB"/>
    <w:rsid w:val="55AC0258"/>
    <w:rsid w:val="55B72542"/>
    <w:rsid w:val="56C10DE3"/>
    <w:rsid w:val="57764D5E"/>
    <w:rsid w:val="582C2259"/>
    <w:rsid w:val="586C3119"/>
    <w:rsid w:val="58CA5C3F"/>
    <w:rsid w:val="59D7729B"/>
    <w:rsid w:val="5A464CE9"/>
    <w:rsid w:val="5B206E33"/>
    <w:rsid w:val="5BA96123"/>
    <w:rsid w:val="5BBA51CA"/>
    <w:rsid w:val="5C37145A"/>
    <w:rsid w:val="5C7650E0"/>
    <w:rsid w:val="5CCC65AB"/>
    <w:rsid w:val="5E4F6C47"/>
    <w:rsid w:val="5EBB2505"/>
    <w:rsid w:val="5EE41A6F"/>
    <w:rsid w:val="5F3B1376"/>
    <w:rsid w:val="5F986241"/>
    <w:rsid w:val="601D7E2A"/>
    <w:rsid w:val="60DB2627"/>
    <w:rsid w:val="613A4D02"/>
    <w:rsid w:val="614624E6"/>
    <w:rsid w:val="617D2C02"/>
    <w:rsid w:val="61F73336"/>
    <w:rsid w:val="62414FC9"/>
    <w:rsid w:val="63195813"/>
    <w:rsid w:val="632066E6"/>
    <w:rsid w:val="63B85FDD"/>
    <w:rsid w:val="64004BFA"/>
    <w:rsid w:val="643C24A2"/>
    <w:rsid w:val="66485F9E"/>
    <w:rsid w:val="665055C5"/>
    <w:rsid w:val="66703996"/>
    <w:rsid w:val="678B5A9E"/>
    <w:rsid w:val="67BA543B"/>
    <w:rsid w:val="67C51891"/>
    <w:rsid w:val="69583E1D"/>
    <w:rsid w:val="6AC41FD2"/>
    <w:rsid w:val="6B35180C"/>
    <w:rsid w:val="6BC75856"/>
    <w:rsid w:val="6BFA4033"/>
    <w:rsid w:val="6C3B650E"/>
    <w:rsid w:val="6C7320D3"/>
    <w:rsid w:val="6C8C4F0D"/>
    <w:rsid w:val="6CDF79C7"/>
    <w:rsid w:val="6CEF4B47"/>
    <w:rsid w:val="6D2D6AD1"/>
    <w:rsid w:val="6DAE0534"/>
    <w:rsid w:val="6E1C1479"/>
    <w:rsid w:val="6F506DAB"/>
    <w:rsid w:val="7010126E"/>
    <w:rsid w:val="70412A27"/>
    <w:rsid w:val="706734D4"/>
    <w:rsid w:val="70B907FC"/>
    <w:rsid w:val="70E65B8C"/>
    <w:rsid w:val="720206CB"/>
    <w:rsid w:val="72154274"/>
    <w:rsid w:val="72C4799D"/>
    <w:rsid w:val="736E0947"/>
    <w:rsid w:val="73826F34"/>
    <w:rsid w:val="74373CCA"/>
    <w:rsid w:val="74F9469D"/>
    <w:rsid w:val="76441F8C"/>
    <w:rsid w:val="765A03C8"/>
    <w:rsid w:val="76600648"/>
    <w:rsid w:val="766407B6"/>
    <w:rsid w:val="76A20DB9"/>
    <w:rsid w:val="76E83462"/>
    <w:rsid w:val="773E172A"/>
    <w:rsid w:val="784C2545"/>
    <w:rsid w:val="784C37A0"/>
    <w:rsid w:val="78C11E46"/>
    <w:rsid w:val="78D729FE"/>
    <w:rsid w:val="78FB7F9B"/>
    <w:rsid w:val="79073721"/>
    <w:rsid w:val="79E57C1E"/>
    <w:rsid w:val="7A5D693B"/>
    <w:rsid w:val="7A902660"/>
    <w:rsid w:val="7AD534FE"/>
    <w:rsid w:val="7B3D315E"/>
    <w:rsid w:val="7B4F1F6F"/>
    <w:rsid w:val="7B686041"/>
    <w:rsid w:val="7B8D0B49"/>
    <w:rsid w:val="7BEF08AF"/>
    <w:rsid w:val="7C381CE1"/>
    <w:rsid w:val="7C64635A"/>
    <w:rsid w:val="7C6B6AA0"/>
    <w:rsid w:val="7CAD4D82"/>
    <w:rsid w:val="7CDC2C32"/>
    <w:rsid w:val="7D994EFB"/>
    <w:rsid w:val="7ECB4A15"/>
    <w:rsid w:val="7F15018B"/>
    <w:rsid w:val="7FFF27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0"/>
    <w:qFormat/>
    <w:uiPriority w:val="0"/>
    <w:rPr>
      <w:sz w:val="18"/>
      <w:szCs w:val="18"/>
    </w:rPr>
  </w:style>
  <w:style w:type="paragraph" w:styleId="3">
    <w:name w:val="footer"/>
    <w:basedOn w:val="1"/>
    <w:link w:val="19"/>
    <w:qFormat/>
    <w:uiPriority w:val="0"/>
    <w:pPr>
      <w:tabs>
        <w:tab w:val="center" w:pos="4153"/>
        <w:tab w:val="right" w:pos="8306"/>
      </w:tabs>
      <w:snapToGrid w:val="0"/>
      <w:jc w:val="left"/>
    </w:pPr>
    <w:rPr>
      <w:sz w:val="18"/>
      <w:szCs w:val="18"/>
    </w:rPr>
  </w:style>
  <w:style w:type="paragraph" w:styleId="4">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color w:val="6F7B86"/>
      <w:u w:val="none"/>
    </w:rPr>
  </w:style>
  <w:style w:type="character" w:styleId="10">
    <w:name w:val="Emphasis"/>
    <w:basedOn w:val="7"/>
    <w:qFormat/>
    <w:uiPriority w:val="0"/>
  </w:style>
  <w:style w:type="character" w:styleId="11">
    <w:name w:val="Hyperlink"/>
    <w:basedOn w:val="7"/>
    <w:qFormat/>
    <w:uiPriority w:val="0"/>
    <w:rPr>
      <w:color w:val="6F7B86"/>
      <w:u w:val="none"/>
    </w:rPr>
  </w:style>
  <w:style w:type="character" w:styleId="12">
    <w:name w:val="HTML Code"/>
    <w:basedOn w:val="7"/>
    <w:qFormat/>
    <w:uiPriority w:val="0"/>
    <w:rPr>
      <w:rFonts w:ascii="Courier New" w:hAnsi="Courier New"/>
      <w:sz w:val="20"/>
    </w:rPr>
  </w:style>
  <w:style w:type="character" w:styleId="13">
    <w:name w:val="HTML Cite"/>
    <w:basedOn w:val="7"/>
    <w:qFormat/>
    <w:uiPriority w:val="0"/>
  </w:style>
  <w:style w:type="character" w:customStyle="1" w:styleId="14">
    <w:name w:val="one"/>
    <w:basedOn w:val="7"/>
    <w:qFormat/>
    <w:uiPriority w:val="0"/>
    <w:rPr>
      <w:b/>
      <w:color w:val="1D63B3"/>
      <w:sz w:val="21"/>
      <w:szCs w:val="21"/>
    </w:rPr>
  </w:style>
  <w:style w:type="character" w:customStyle="1" w:styleId="15">
    <w:name w:val="two1"/>
    <w:basedOn w:val="7"/>
    <w:qFormat/>
    <w:uiPriority w:val="0"/>
    <w:rPr>
      <w:b/>
      <w:color w:val="1D63B3"/>
    </w:rPr>
  </w:style>
  <w:style w:type="character" w:customStyle="1" w:styleId="16">
    <w:name w:val="top3"/>
    <w:basedOn w:val="7"/>
    <w:qFormat/>
    <w:uiPriority w:val="0"/>
  </w:style>
  <w:style w:type="character" w:customStyle="1" w:styleId="17">
    <w:name w:val="one1"/>
    <w:basedOn w:val="7"/>
    <w:qFormat/>
    <w:uiPriority w:val="0"/>
    <w:rPr>
      <w:b/>
      <w:color w:val="1D63B3"/>
      <w:sz w:val="21"/>
      <w:szCs w:val="21"/>
    </w:rPr>
  </w:style>
  <w:style w:type="character" w:customStyle="1" w:styleId="18">
    <w:name w:val="页眉 Char"/>
    <w:basedOn w:val="7"/>
    <w:link w:val="4"/>
    <w:qFormat/>
    <w:uiPriority w:val="0"/>
    <w:rPr>
      <w:rFonts w:asciiTheme="minorHAnsi" w:hAnsiTheme="minorHAnsi" w:eastAsiaTheme="minorEastAsia" w:cstheme="minorBidi"/>
      <w:kern w:val="2"/>
      <w:sz w:val="18"/>
      <w:szCs w:val="18"/>
    </w:rPr>
  </w:style>
  <w:style w:type="character" w:customStyle="1" w:styleId="19">
    <w:name w:val="页脚 Char"/>
    <w:basedOn w:val="7"/>
    <w:link w:val="3"/>
    <w:qFormat/>
    <w:uiPriority w:val="0"/>
    <w:rPr>
      <w:rFonts w:asciiTheme="minorHAnsi" w:hAnsiTheme="minorHAnsi" w:eastAsiaTheme="minorEastAsia" w:cstheme="minorBidi"/>
      <w:kern w:val="2"/>
      <w:sz w:val="18"/>
      <w:szCs w:val="18"/>
    </w:rPr>
  </w:style>
  <w:style w:type="character" w:customStyle="1" w:styleId="20">
    <w:name w:val="批注框文本 Char"/>
    <w:basedOn w:val="7"/>
    <w:link w:val="2"/>
    <w:qFormat/>
    <w:uiPriority w:val="0"/>
    <w:rPr>
      <w:rFonts w:asciiTheme="minorHAnsi" w:hAnsiTheme="minorHAnsi" w:eastAsiaTheme="minorEastAsia" w:cstheme="minorBidi"/>
      <w:kern w:val="2"/>
      <w:sz w:val="18"/>
      <w:szCs w:val="18"/>
    </w:rPr>
  </w:style>
  <w:style w:type="paragraph" w:customStyle="1" w:styleId="21">
    <w:name w:val="修订1"/>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25D150-DC50-4FC2-AA26-FDB41058417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5810</Words>
  <Characters>5938</Characters>
  <Lines>42</Lines>
  <Paragraphs>12</Paragraphs>
  <TotalTime>42</TotalTime>
  <ScaleCrop>false</ScaleCrop>
  <LinksUpToDate>false</LinksUpToDate>
  <CharactersWithSpaces>5938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2023-01-04T09:29:00Z</dcterms:created>
  <dc:creator>Administrator</dc:creator>
  <cp:lastModifiedBy>admin</cp:lastModifiedBy>
  <cp:lastPrinted>2022-04-13T04:03:00Z</cp:lastPrinted>
  <dcterms:modified xsi:type="dcterms:W3CDTF">2025-04-27T09:39:27Z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2E132C2E321A4658B235F71A9E3EE77E</vt:lpwstr>
  </property>
</Properties>
</file>