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5534A5">
      <w:pPr>
        <w:keepNext w:val="0"/>
        <w:keepLines w:val="0"/>
        <w:pageBreakBefore w:val="0"/>
        <w:widowControl/>
        <w:kinsoku/>
        <w:wordWrap/>
        <w:overflowPunct/>
        <w:topLinePunct w:val="0"/>
        <w:autoSpaceDE/>
        <w:autoSpaceDN/>
        <w:bidi w:val="0"/>
        <w:adjustRightInd w:val="0"/>
        <w:snapToGrid/>
        <w:spacing w:line="560" w:lineRule="exact"/>
        <w:ind w:left="0" w:right="0"/>
        <w:jc w:val="both"/>
        <w:textAlignment w:val="baseline"/>
        <w:outlineLvl w:val="9"/>
        <w:rPr>
          <w:rFonts w:hint="default" w:ascii="Times New Roman" w:hAnsi="Times New Roman" w:eastAsia="方正小标宋简体" w:cs="Times New Roman"/>
          <w:b w:val="0"/>
          <w:bCs w:val="0"/>
          <w:spacing w:val="2"/>
          <w:sz w:val="44"/>
          <w:szCs w:val="44"/>
          <w:shd w:val="clear" w:color="auto" w:fill="auto"/>
          <w:lang w:val="en-US"/>
        </w:rPr>
      </w:pPr>
      <w:r>
        <w:rPr>
          <w:rFonts w:hint="eastAsia" w:ascii="黑体" w:hAnsi="黑体" w:eastAsia="黑体" w:cs="黑体"/>
          <w:b w:val="0"/>
          <w:bCs w:val="0"/>
          <w:spacing w:val="2"/>
          <w:sz w:val="32"/>
          <w:szCs w:val="32"/>
          <w:shd w:val="clear" w:color="auto" w:fill="auto"/>
          <w:lang w:val="en-US" w:eastAsia="zh-CN"/>
        </w:rPr>
        <w:t>附件2</w:t>
      </w:r>
    </w:p>
    <w:p w14:paraId="59196856">
      <w:pPr>
        <w:keepNext w:val="0"/>
        <w:keepLines w:val="0"/>
        <w:pageBreakBefore w:val="0"/>
        <w:widowControl/>
        <w:kinsoku/>
        <w:wordWrap/>
        <w:overflowPunct/>
        <w:topLinePunct w:val="0"/>
        <w:autoSpaceDE/>
        <w:autoSpaceDN/>
        <w:bidi w:val="0"/>
        <w:adjustRightInd w:val="0"/>
        <w:snapToGrid/>
        <w:spacing w:line="560" w:lineRule="exact"/>
        <w:ind w:left="0" w:right="0"/>
        <w:jc w:val="center"/>
        <w:textAlignment w:val="baseline"/>
        <w:outlineLvl w:val="9"/>
        <w:rPr>
          <w:rFonts w:hint="default" w:ascii="Times New Roman" w:hAnsi="Times New Roman" w:eastAsia="方正小标宋简体" w:cs="Times New Roman"/>
          <w:b w:val="0"/>
          <w:bCs w:val="0"/>
          <w:spacing w:val="2"/>
          <w:sz w:val="44"/>
          <w:szCs w:val="44"/>
          <w:shd w:val="clear" w:color="auto" w:fill="auto"/>
        </w:rPr>
      </w:pPr>
    </w:p>
    <w:p w14:paraId="140A2670">
      <w:pPr>
        <w:keepNext w:val="0"/>
        <w:keepLines w:val="0"/>
        <w:pageBreakBefore w:val="0"/>
        <w:widowControl/>
        <w:kinsoku/>
        <w:wordWrap/>
        <w:overflowPunct/>
        <w:topLinePunct w:val="0"/>
        <w:autoSpaceDE/>
        <w:autoSpaceDN/>
        <w:bidi w:val="0"/>
        <w:adjustRightInd w:val="0"/>
        <w:snapToGrid/>
        <w:spacing w:line="560" w:lineRule="exact"/>
        <w:ind w:left="0" w:right="0"/>
        <w:jc w:val="center"/>
        <w:textAlignment w:val="baseline"/>
        <w:outlineLvl w:val="9"/>
        <w:rPr>
          <w:rFonts w:hint="default" w:ascii="Times New Roman" w:hAnsi="Times New Roman" w:eastAsia="方正小标宋简体" w:cs="Times New Roman"/>
          <w:b w:val="0"/>
          <w:bCs w:val="0"/>
          <w:spacing w:val="3"/>
          <w:sz w:val="44"/>
          <w:szCs w:val="44"/>
          <w:shd w:val="clear" w:color="auto" w:fill="auto"/>
          <w:lang w:val="en-US" w:eastAsia="zh-CN"/>
        </w:rPr>
      </w:pPr>
      <w:r>
        <w:rPr>
          <w:rFonts w:hint="default" w:ascii="Times New Roman" w:hAnsi="Times New Roman" w:eastAsia="方正小标宋简体" w:cs="Times New Roman"/>
          <w:b w:val="0"/>
          <w:bCs w:val="0"/>
          <w:spacing w:val="2"/>
          <w:sz w:val="44"/>
          <w:szCs w:val="44"/>
          <w:shd w:val="clear" w:color="auto" w:fill="auto"/>
        </w:rPr>
        <w:t>关于</w:t>
      </w:r>
      <w:r>
        <w:rPr>
          <w:rFonts w:hint="default" w:ascii="Times New Roman" w:hAnsi="Times New Roman" w:eastAsia="方正小标宋简体" w:cs="Times New Roman"/>
          <w:b w:val="0"/>
          <w:bCs w:val="0"/>
          <w:spacing w:val="2"/>
          <w:sz w:val="44"/>
          <w:szCs w:val="44"/>
          <w:shd w:val="clear" w:color="auto" w:fill="auto"/>
          <w:lang w:val="en-US" w:eastAsia="zh-CN"/>
        </w:rPr>
        <w:t>进一步明确市区</w:t>
      </w:r>
      <w:r>
        <w:rPr>
          <w:rFonts w:hint="default" w:ascii="Times New Roman" w:hAnsi="Times New Roman" w:eastAsia="方正小标宋简体" w:cs="Times New Roman"/>
          <w:b w:val="0"/>
          <w:bCs w:val="0"/>
          <w:spacing w:val="2"/>
          <w:sz w:val="44"/>
          <w:szCs w:val="44"/>
          <w:shd w:val="clear" w:color="auto" w:fill="auto"/>
        </w:rPr>
        <w:t>耕地</w:t>
      </w:r>
      <w:r>
        <w:rPr>
          <w:rFonts w:hint="default" w:ascii="Times New Roman" w:hAnsi="Times New Roman" w:eastAsia="方正小标宋简体" w:cs="Times New Roman"/>
          <w:b w:val="0"/>
          <w:bCs w:val="0"/>
          <w:spacing w:val="3"/>
          <w:sz w:val="44"/>
          <w:szCs w:val="44"/>
          <w:shd w:val="clear" w:color="auto" w:fill="auto"/>
        </w:rPr>
        <w:t>开垦费</w:t>
      </w:r>
      <w:r>
        <w:rPr>
          <w:rFonts w:hint="default" w:ascii="Times New Roman" w:hAnsi="Times New Roman" w:eastAsia="方正小标宋简体" w:cs="Times New Roman"/>
          <w:b w:val="0"/>
          <w:bCs w:val="0"/>
          <w:spacing w:val="3"/>
          <w:sz w:val="44"/>
          <w:szCs w:val="44"/>
          <w:shd w:val="clear" w:color="auto" w:fill="auto"/>
          <w:lang w:val="en-US" w:eastAsia="zh-CN"/>
        </w:rPr>
        <w:t>收缴和</w:t>
      </w:r>
    </w:p>
    <w:p w14:paraId="650C37C3">
      <w:pPr>
        <w:keepNext w:val="0"/>
        <w:keepLines w:val="0"/>
        <w:pageBreakBefore w:val="0"/>
        <w:widowControl/>
        <w:kinsoku/>
        <w:wordWrap/>
        <w:overflowPunct/>
        <w:topLinePunct w:val="0"/>
        <w:autoSpaceDE/>
        <w:autoSpaceDN/>
        <w:bidi w:val="0"/>
        <w:adjustRightInd w:val="0"/>
        <w:snapToGrid/>
        <w:spacing w:line="560" w:lineRule="exact"/>
        <w:ind w:left="0" w:right="0"/>
        <w:jc w:val="center"/>
        <w:textAlignment w:val="baseline"/>
        <w:outlineLvl w:val="9"/>
        <w:rPr>
          <w:rFonts w:hint="default" w:ascii="Times New Roman" w:hAnsi="Times New Roman" w:eastAsia="方正小标宋简体" w:cs="Times New Roman"/>
          <w:sz w:val="44"/>
          <w:szCs w:val="44"/>
          <w:shd w:val="clear" w:color="auto" w:fill="auto"/>
        </w:rPr>
      </w:pPr>
      <w:r>
        <w:rPr>
          <w:rFonts w:hint="default" w:ascii="Times New Roman" w:hAnsi="Times New Roman" w:eastAsia="方正小标宋简体" w:cs="Times New Roman"/>
          <w:b w:val="0"/>
          <w:bCs w:val="0"/>
          <w:spacing w:val="3"/>
          <w:sz w:val="44"/>
          <w:szCs w:val="44"/>
          <w:shd w:val="clear" w:color="auto" w:fill="auto"/>
          <w:lang w:val="en-US" w:eastAsia="zh-CN"/>
        </w:rPr>
        <w:t>补充耕地资金标准</w:t>
      </w:r>
      <w:r>
        <w:rPr>
          <w:rFonts w:hint="default" w:ascii="Times New Roman" w:hAnsi="Times New Roman" w:eastAsia="方正小标宋简体" w:cs="Times New Roman"/>
          <w:b w:val="0"/>
          <w:bCs w:val="0"/>
          <w:spacing w:val="3"/>
          <w:sz w:val="44"/>
          <w:szCs w:val="44"/>
          <w:shd w:val="clear" w:color="auto" w:fill="auto"/>
        </w:rPr>
        <w:t>的</w:t>
      </w:r>
      <w:r>
        <w:rPr>
          <w:rFonts w:hint="default" w:ascii="Times New Roman" w:hAnsi="Times New Roman" w:eastAsia="方正小标宋简体" w:cs="Times New Roman"/>
          <w:b w:val="0"/>
          <w:bCs w:val="0"/>
          <w:spacing w:val="3"/>
          <w:sz w:val="44"/>
          <w:szCs w:val="44"/>
          <w:shd w:val="clear" w:color="auto" w:fill="auto"/>
          <w:lang w:eastAsia="zh-CN"/>
        </w:rPr>
        <w:t>通知</w:t>
      </w:r>
    </w:p>
    <w:p w14:paraId="27B37748">
      <w:pPr>
        <w:keepNext w:val="0"/>
        <w:keepLines w:val="0"/>
        <w:pageBreakBefore w:val="0"/>
        <w:widowControl/>
        <w:kinsoku/>
        <w:wordWrap/>
        <w:overflowPunct/>
        <w:topLinePunct w:val="0"/>
        <w:autoSpaceDE/>
        <w:autoSpaceDN/>
        <w:bidi w:val="0"/>
        <w:adjustRightInd w:val="0"/>
        <w:snapToGrid/>
        <w:spacing w:line="520" w:lineRule="exact"/>
        <w:ind w:left="0" w:right="0"/>
        <w:jc w:val="center"/>
        <w:textAlignment w:val="baseline"/>
        <w:outlineLvl w:val="9"/>
        <w:rPr>
          <w:rFonts w:hint="default" w:ascii="Times New Roman" w:hAnsi="Times New Roman" w:eastAsia="楷体_GB2312" w:cs="Times New Roman"/>
          <w:sz w:val="32"/>
          <w:szCs w:val="32"/>
          <w:shd w:val="clear" w:color="auto" w:fill="auto"/>
          <w:lang w:eastAsia="zh-CN"/>
        </w:rPr>
      </w:pPr>
      <w:r>
        <w:rPr>
          <w:rFonts w:hint="default" w:ascii="Times New Roman" w:hAnsi="Times New Roman" w:eastAsia="楷体_GB2312" w:cs="Times New Roman"/>
          <w:sz w:val="32"/>
          <w:szCs w:val="32"/>
          <w:shd w:val="clear" w:color="auto" w:fill="auto"/>
          <w:lang w:eastAsia="zh-CN"/>
        </w:rPr>
        <w:t>（</w:t>
      </w:r>
      <w:r>
        <w:rPr>
          <w:rFonts w:hint="eastAsia" w:ascii="Times New Roman" w:hAnsi="Times New Roman" w:eastAsia="楷体_GB2312" w:cs="Times New Roman"/>
          <w:sz w:val="32"/>
          <w:szCs w:val="32"/>
          <w:shd w:val="clear" w:color="auto" w:fill="auto"/>
          <w:lang w:val="en-US" w:eastAsia="zh-CN"/>
        </w:rPr>
        <w:t>征求意见</w:t>
      </w:r>
      <w:r>
        <w:rPr>
          <w:rFonts w:hint="default" w:ascii="Times New Roman" w:hAnsi="Times New Roman" w:eastAsia="楷体_GB2312" w:cs="Times New Roman"/>
          <w:sz w:val="32"/>
          <w:szCs w:val="32"/>
          <w:shd w:val="clear" w:color="auto" w:fill="auto"/>
          <w:lang w:val="en-US" w:eastAsia="zh-CN"/>
        </w:rPr>
        <w:t>稿</w:t>
      </w:r>
      <w:r>
        <w:rPr>
          <w:rFonts w:hint="default" w:ascii="Times New Roman" w:hAnsi="Times New Roman" w:eastAsia="楷体_GB2312" w:cs="Times New Roman"/>
          <w:sz w:val="32"/>
          <w:szCs w:val="32"/>
          <w:shd w:val="clear" w:color="auto" w:fill="auto"/>
          <w:lang w:eastAsia="zh-CN"/>
        </w:rPr>
        <w:t>）</w:t>
      </w:r>
    </w:p>
    <w:p w14:paraId="5771FAD0">
      <w:pPr>
        <w:keepNext w:val="0"/>
        <w:keepLines w:val="0"/>
        <w:pageBreakBefore w:val="0"/>
        <w:widowControl/>
        <w:kinsoku/>
        <w:wordWrap/>
        <w:overflowPunct/>
        <w:topLinePunct w:val="0"/>
        <w:autoSpaceDE/>
        <w:autoSpaceDN/>
        <w:bidi w:val="0"/>
        <w:adjustRightInd w:val="0"/>
        <w:snapToGrid/>
        <w:spacing w:line="520" w:lineRule="exact"/>
        <w:ind w:left="0" w:right="0"/>
        <w:jc w:val="center"/>
        <w:textAlignment w:val="baseline"/>
        <w:outlineLvl w:val="9"/>
        <w:rPr>
          <w:rFonts w:hint="default" w:ascii="Times New Roman" w:hAnsi="Times New Roman" w:eastAsia="楷体_GB2312" w:cs="Times New Roman"/>
          <w:sz w:val="32"/>
          <w:szCs w:val="32"/>
          <w:shd w:val="clear" w:color="auto" w:fill="auto"/>
          <w:lang w:eastAsia="zh-CN"/>
        </w:rPr>
      </w:pPr>
    </w:p>
    <w:p w14:paraId="00DD3C12">
      <w:pPr>
        <w:keepNext w:val="0"/>
        <w:keepLines w:val="0"/>
        <w:pageBreakBefore w:val="0"/>
        <w:widowControl/>
        <w:kinsoku/>
        <w:wordWrap/>
        <w:overflowPunct/>
        <w:topLinePunct w:val="0"/>
        <w:autoSpaceDE/>
        <w:autoSpaceDN/>
        <w:bidi w:val="0"/>
        <w:adjustRightInd w:val="0"/>
        <w:snapToGrid/>
        <w:spacing w:line="560" w:lineRule="exact"/>
        <w:ind w:left="0" w:right="0"/>
        <w:jc w:val="both"/>
        <w:textAlignment w:val="baseline"/>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lang w:val="en-US" w:eastAsia="zh-CN"/>
        </w:rPr>
        <w:t>婺城区、金东区人民政府，金华开发区</w:t>
      </w:r>
      <w:r>
        <w:rPr>
          <w:rFonts w:hint="eastAsia" w:ascii="Times New Roman" w:hAnsi="Times New Roman" w:eastAsia="仿宋_GB2312" w:cs="Times New Roman"/>
          <w:spacing w:val="0"/>
          <w:sz w:val="32"/>
          <w:szCs w:val="32"/>
          <w:shd w:val="clear" w:color="auto" w:fill="auto"/>
          <w:lang w:val="en-US" w:eastAsia="zh-CN"/>
        </w:rPr>
        <w:t>、双龙风景区</w:t>
      </w:r>
      <w:r>
        <w:rPr>
          <w:rFonts w:hint="default" w:ascii="Times New Roman" w:hAnsi="Times New Roman" w:eastAsia="仿宋_GB2312" w:cs="Times New Roman"/>
          <w:spacing w:val="0"/>
          <w:sz w:val="32"/>
          <w:szCs w:val="32"/>
          <w:shd w:val="clear" w:color="auto" w:fill="auto"/>
          <w:lang w:val="en-US" w:eastAsia="zh-CN"/>
        </w:rPr>
        <w:t>管委会、市直有关部门</w:t>
      </w:r>
      <w:r>
        <w:rPr>
          <w:rFonts w:hint="default" w:ascii="Times New Roman" w:hAnsi="Times New Roman" w:eastAsia="仿宋_GB2312" w:cs="Times New Roman"/>
          <w:spacing w:val="0"/>
          <w:sz w:val="32"/>
          <w:szCs w:val="32"/>
          <w:shd w:val="clear" w:color="auto" w:fill="auto"/>
        </w:rPr>
        <w:t>：</w:t>
      </w:r>
    </w:p>
    <w:p w14:paraId="5BDF77D7">
      <w:pPr>
        <w:pStyle w:val="4"/>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baseline"/>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为严格落实</w:t>
      </w:r>
      <w:r>
        <w:rPr>
          <w:rFonts w:hint="default" w:ascii="Times New Roman" w:hAnsi="Times New Roman" w:eastAsia="仿宋_GB2312" w:cs="Times New Roman"/>
          <w:spacing w:val="0"/>
          <w:sz w:val="32"/>
          <w:szCs w:val="32"/>
          <w:shd w:val="clear" w:color="auto" w:fill="auto"/>
          <w:lang w:val="en-US" w:eastAsia="zh-CN"/>
        </w:rPr>
        <w:t>耕地占补平衡政策，切实</w:t>
      </w:r>
      <w:r>
        <w:rPr>
          <w:rFonts w:hint="default" w:ascii="Times New Roman" w:hAnsi="Times New Roman" w:eastAsia="仿宋_GB2312" w:cs="Times New Roman"/>
          <w:spacing w:val="0"/>
          <w:sz w:val="32"/>
          <w:szCs w:val="32"/>
          <w:shd w:val="clear" w:color="auto" w:fill="auto"/>
        </w:rPr>
        <w:t>做好耕地保护工作，根据</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浙江省人民政府办公厅关于调整耕地开垦费等有关政策的通知</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lang w:val="en-US" w:eastAsia="zh-CN"/>
        </w:rPr>
        <w:t>浙政办函〔2025〕2号</w:t>
      </w:r>
      <w:r>
        <w:rPr>
          <w:rFonts w:hint="default" w:ascii="Times New Roman" w:hAnsi="Times New Roman" w:eastAsia="仿宋_GB2312" w:cs="Times New Roman"/>
          <w:spacing w:val="0"/>
          <w:sz w:val="32"/>
          <w:szCs w:val="32"/>
          <w:shd w:val="clear" w:color="auto" w:fill="auto"/>
          <w:lang w:eastAsia="zh-CN"/>
        </w:rPr>
        <w:t>）</w:t>
      </w:r>
      <w:r>
        <w:rPr>
          <w:rFonts w:hint="eastAsia" w:ascii="Times New Roman" w:hAnsi="Times New Roman" w:eastAsia="仿宋_GB2312" w:cs="Times New Roman"/>
          <w:spacing w:val="0"/>
          <w:sz w:val="32"/>
          <w:szCs w:val="32"/>
          <w:shd w:val="clear" w:color="auto" w:fill="auto"/>
          <w:lang w:val="en-US" w:eastAsia="zh-CN"/>
        </w:rPr>
        <w:t>和</w:t>
      </w:r>
      <w:r>
        <w:rPr>
          <w:rFonts w:hint="eastAsia" w:ascii="Times New Roman" w:hAnsi="Times New Roman" w:eastAsia="仿宋_GB2312" w:cs="Times New Roman"/>
          <w:spacing w:val="0"/>
          <w:sz w:val="32"/>
          <w:szCs w:val="32"/>
          <w:shd w:val="clear" w:color="auto" w:fill="auto"/>
          <w:lang w:eastAsia="zh-CN"/>
        </w:rPr>
        <w:t>《</w:t>
      </w:r>
      <w:r>
        <w:rPr>
          <w:rFonts w:hint="eastAsia" w:ascii="Times New Roman" w:hAnsi="Times New Roman" w:eastAsia="仿宋_GB2312" w:cs="Times New Roman"/>
          <w:spacing w:val="0"/>
          <w:sz w:val="32"/>
          <w:szCs w:val="32"/>
          <w:shd w:val="clear" w:color="auto" w:fill="auto"/>
          <w:lang w:val="en-US" w:eastAsia="zh-CN"/>
        </w:rPr>
        <w:t>浙江省自然资源厅 浙江省发展和改革委员会 浙江省财政厅关于加强耕地开垦费和补充耕地资金收缴与使用管理的通知</w:t>
      </w:r>
      <w:r>
        <w:rPr>
          <w:rFonts w:hint="eastAsia" w:ascii="Times New Roman" w:hAnsi="Times New Roman" w:eastAsia="仿宋_GB2312" w:cs="Times New Roman"/>
          <w:spacing w:val="0"/>
          <w:sz w:val="32"/>
          <w:szCs w:val="32"/>
          <w:shd w:val="clear" w:color="auto" w:fill="auto"/>
          <w:lang w:eastAsia="zh-CN"/>
        </w:rPr>
        <w:t>》（</w:t>
      </w:r>
      <w:r>
        <w:rPr>
          <w:rFonts w:hint="eastAsia" w:ascii="Times New Roman" w:hAnsi="Times New Roman" w:eastAsia="仿宋_GB2312" w:cs="Times New Roman"/>
          <w:spacing w:val="0"/>
          <w:sz w:val="32"/>
          <w:szCs w:val="32"/>
          <w:shd w:val="clear" w:color="auto" w:fill="auto"/>
          <w:lang w:val="en-US" w:eastAsia="zh-CN"/>
        </w:rPr>
        <w:t>浙自然资函</w:t>
      </w:r>
      <w:r>
        <w:rPr>
          <w:rFonts w:hint="default" w:ascii="Times New Roman" w:hAnsi="Times New Roman" w:eastAsia="仿宋_GB2312" w:cs="Times New Roman"/>
          <w:spacing w:val="0"/>
          <w:sz w:val="32"/>
          <w:szCs w:val="32"/>
          <w:shd w:val="clear" w:color="auto" w:fill="auto"/>
          <w:lang w:val="en-US" w:eastAsia="zh-CN"/>
        </w:rPr>
        <w:t>〔2025〕</w:t>
      </w:r>
      <w:r>
        <w:rPr>
          <w:rFonts w:hint="eastAsia" w:ascii="Times New Roman" w:hAnsi="Times New Roman" w:eastAsia="仿宋_GB2312" w:cs="Times New Roman"/>
          <w:spacing w:val="0"/>
          <w:sz w:val="32"/>
          <w:szCs w:val="32"/>
          <w:shd w:val="clear" w:color="auto" w:fill="auto"/>
          <w:lang w:val="en-US" w:eastAsia="zh-CN"/>
        </w:rPr>
        <w:t>4</w:t>
      </w:r>
      <w:r>
        <w:rPr>
          <w:rFonts w:hint="default" w:ascii="Times New Roman" w:hAnsi="Times New Roman" w:eastAsia="仿宋_GB2312" w:cs="Times New Roman"/>
          <w:spacing w:val="0"/>
          <w:sz w:val="32"/>
          <w:szCs w:val="32"/>
          <w:shd w:val="clear" w:color="auto" w:fill="auto"/>
          <w:lang w:val="en-US" w:eastAsia="zh-CN"/>
        </w:rPr>
        <w:t>号</w:t>
      </w:r>
      <w:r>
        <w:rPr>
          <w:rFonts w:hint="eastAsia" w:ascii="Times New Roman" w:hAnsi="Times New Roman" w:eastAsia="仿宋_GB2312" w:cs="Times New Roman"/>
          <w:spacing w:val="0"/>
          <w:sz w:val="32"/>
          <w:szCs w:val="32"/>
          <w:shd w:val="clear" w:color="auto" w:fill="auto"/>
          <w:lang w:eastAsia="zh-CN"/>
        </w:rPr>
        <w:t>）的</w:t>
      </w:r>
      <w:r>
        <w:rPr>
          <w:rFonts w:hint="default" w:ascii="Times New Roman" w:hAnsi="Times New Roman" w:eastAsia="仿宋_GB2312" w:cs="Times New Roman"/>
          <w:spacing w:val="0"/>
          <w:sz w:val="32"/>
          <w:szCs w:val="32"/>
          <w:shd w:val="clear" w:color="auto" w:fill="auto"/>
          <w:lang w:eastAsia="zh-CN"/>
        </w:rPr>
        <w:t>要求</w:t>
      </w:r>
      <w:r>
        <w:rPr>
          <w:rFonts w:hint="default" w:ascii="Times New Roman" w:hAnsi="Times New Roman" w:eastAsia="仿宋_GB2312" w:cs="Times New Roman"/>
          <w:spacing w:val="0"/>
          <w:sz w:val="32"/>
          <w:szCs w:val="32"/>
          <w:shd w:val="clear" w:color="auto" w:fill="auto"/>
          <w:lang w:val="en-US" w:eastAsia="zh-CN"/>
        </w:rPr>
        <w:t>，结合市区实际，</w:t>
      </w:r>
      <w:r>
        <w:rPr>
          <w:rFonts w:hint="default" w:ascii="Times New Roman" w:hAnsi="Times New Roman" w:eastAsia="仿宋_GB2312" w:cs="Times New Roman"/>
          <w:spacing w:val="0"/>
          <w:sz w:val="32"/>
          <w:szCs w:val="32"/>
          <w:shd w:val="clear" w:color="auto" w:fill="auto"/>
        </w:rPr>
        <w:t>现就</w:t>
      </w:r>
      <w:r>
        <w:rPr>
          <w:rFonts w:hint="default" w:ascii="Times New Roman" w:hAnsi="Times New Roman" w:eastAsia="仿宋_GB2312" w:cs="Times New Roman"/>
          <w:spacing w:val="0"/>
          <w:sz w:val="32"/>
          <w:szCs w:val="32"/>
          <w:shd w:val="clear" w:color="auto" w:fill="auto"/>
          <w:lang w:val="en-US" w:eastAsia="zh-CN"/>
        </w:rPr>
        <w:t>市区</w:t>
      </w:r>
      <w:r>
        <w:rPr>
          <w:rFonts w:hint="default" w:ascii="Times New Roman" w:hAnsi="Times New Roman" w:eastAsia="仿宋_GB2312" w:cs="Times New Roman"/>
          <w:spacing w:val="0"/>
          <w:sz w:val="32"/>
          <w:szCs w:val="32"/>
          <w:shd w:val="clear" w:color="auto" w:fill="auto"/>
        </w:rPr>
        <w:t>耕地开垦费</w:t>
      </w:r>
      <w:r>
        <w:rPr>
          <w:rFonts w:hint="default" w:ascii="Times New Roman" w:hAnsi="Times New Roman" w:eastAsia="仿宋_GB2312" w:cs="Times New Roman"/>
          <w:spacing w:val="0"/>
          <w:sz w:val="32"/>
          <w:szCs w:val="32"/>
          <w:shd w:val="clear" w:color="auto" w:fill="auto"/>
          <w:lang w:val="en-US" w:eastAsia="zh-CN"/>
        </w:rPr>
        <w:t>和补充耕地资金收缴及使用管理</w:t>
      </w:r>
      <w:r>
        <w:rPr>
          <w:rFonts w:hint="default" w:ascii="Times New Roman" w:hAnsi="Times New Roman" w:eastAsia="仿宋_GB2312" w:cs="Times New Roman"/>
          <w:spacing w:val="0"/>
          <w:sz w:val="32"/>
          <w:szCs w:val="32"/>
          <w:shd w:val="clear" w:color="auto" w:fill="auto"/>
        </w:rPr>
        <w:t>通知如下：</w:t>
      </w:r>
    </w:p>
    <w:p w14:paraId="1A893EBD">
      <w:pPr>
        <w:keepNext w:val="0"/>
        <w:keepLines w:val="0"/>
        <w:pageBreakBefore w:val="0"/>
        <w:widowControl/>
        <w:kinsoku/>
        <w:wordWrap/>
        <w:overflowPunct/>
        <w:topLinePunct w:val="0"/>
        <w:autoSpaceDE/>
        <w:autoSpaceDN/>
        <w:bidi w:val="0"/>
        <w:adjustRightInd w:val="0"/>
        <w:snapToGrid/>
        <w:spacing w:line="560" w:lineRule="exact"/>
        <w:ind w:left="0" w:right="0" w:firstLine="619"/>
        <w:jc w:val="both"/>
        <w:textAlignment w:val="baseline"/>
        <w:outlineLvl w:val="9"/>
        <w:rPr>
          <w:rFonts w:hint="default" w:ascii="Times New Roman" w:hAnsi="Times New Roman" w:eastAsia="黑体" w:cs="Times New Roman"/>
          <w:spacing w:val="0"/>
          <w:sz w:val="32"/>
          <w:szCs w:val="32"/>
          <w:shd w:val="clear" w:color="auto" w:fill="auto"/>
          <w:lang w:eastAsia="zh-CN"/>
        </w:rPr>
      </w:pPr>
      <w:r>
        <w:rPr>
          <w:rFonts w:hint="default" w:ascii="Times New Roman" w:hAnsi="Times New Roman" w:eastAsia="黑体" w:cs="Times New Roman"/>
          <w:spacing w:val="0"/>
          <w:sz w:val="32"/>
          <w:szCs w:val="32"/>
          <w:shd w:val="clear" w:color="auto" w:fill="auto"/>
          <w:lang w:eastAsia="zh-CN"/>
        </w:rPr>
        <w:t>一、征收范围</w:t>
      </w:r>
    </w:p>
    <w:p w14:paraId="006E8730">
      <w:pPr>
        <w:keepNext w:val="0"/>
        <w:keepLines w:val="0"/>
        <w:pageBreakBefore w:val="0"/>
        <w:widowControl/>
        <w:kinsoku/>
        <w:wordWrap/>
        <w:overflowPunct/>
        <w:topLinePunct w:val="0"/>
        <w:autoSpaceDE/>
        <w:autoSpaceDN/>
        <w:bidi w:val="0"/>
        <w:adjustRightInd w:val="0"/>
        <w:snapToGrid/>
        <w:spacing w:line="560" w:lineRule="exact"/>
        <w:ind w:left="0" w:right="0" w:firstLine="619"/>
        <w:jc w:val="both"/>
        <w:textAlignment w:val="baseline"/>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rPr>
        <w:t>非农建设经批准占用耕地的单位和个人，没有条件</w:t>
      </w:r>
      <w:r>
        <w:rPr>
          <w:rFonts w:hint="default" w:ascii="Times New Roman" w:hAnsi="Times New Roman" w:eastAsia="仿宋_GB2312" w:cs="Times New Roman"/>
          <w:spacing w:val="0"/>
          <w:sz w:val="32"/>
          <w:szCs w:val="32"/>
          <w:shd w:val="clear" w:color="auto" w:fill="auto"/>
          <w:lang w:val="en-US" w:eastAsia="zh-CN"/>
        </w:rPr>
        <w:t>开垦或者开垦的耕地不符合要求的，按照规定标准缴纳</w:t>
      </w:r>
      <w:r>
        <w:rPr>
          <w:rFonts w:hint="default" w:ascii="Times New Roman" w:hAnsi="Times New Roman" w:eastAsia="仿宋_GB2312" w:cs="Times New Roman"/>
          <w:spacing w:val="0"/>
          <w:sz w:val="32"/>
          <w:szCs w:val="32"/>
          <w:shd w:val="clear" w:color="auto" w:fill="auto"/>
        </w:rPr>
        <w:t>耕地开垦费和委托补充耕地产生的相关费用(以下简称补充耕地资金)</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委托</w:t>
      </w:r>
      <w:r>
        <w:rPr>
          <w:rFonts w:hint="default" w:ascii="Times New Roman" w:hAnsi="Times New Roman" w:eastAsia="仿宋_GB2312" w:cs="Times New Roman"/>
          <w:spacing w:val="0"/>
          <w:sz w:val="32"/>
          <w:szCs w:val="32"/>
          <w:shd w:val="clear" w:color="auto" w:fill="auto"/>
          <w:lang w:val="en-US" w:eastAsia="zh-CN"/>
        </w:rPr>
        <w:t>地方</w:t>
      </w:r>
      <w:r>
        <w:rPr>
          <w:rFonts w:hint="default" w:ascii="Times New Roman" w:hAnsi="Times New Roman" w:eastAsia="仿宋_GB2312" w:cs="Times New Roman"/>
          <w:spacing w:val="0"/>
          <w:sz w:val="32"/>
          <w:szCs w:val="32"/>
          <w:shd w:val="clear" w:color="auto" w:fill="auto"/>
        </w:rPr>
        <w:t>政府</w:t>
      </w:r>
      <w:r>
        <w:rPr>
          <w:rFonts w:hint="eastAsia" w:ascii="Times New Roman" w:hAnsi="Times New Roman" w:eastAsia="仿宋_GB2312" w:cs="Times New Roman"/>
          <w:spacing w:val="0"/>
          <w:sz w:val="32"/>
          <w:szCs w:val="32"/>
          <w:shd w:val="clear" w:color="auto" w:fill="auto"/>
          <w:lang w:eastAsia="zh-CN"/>
        </w:rPr>
        <w:t>、</w:t>
      </w:r>
      <w:r>
        <w:rPr>
          <w:rFonts w:hint="eastAsia" w:ascii="Times New Roman" w:hAnsi="Times New Roman" w:eastAsia="仿宋_GB2312" w:cs="Times New Roman"/>
          <w:spacing w:val="0"/>
          <w:sz w:val="32"/>
          <w:szCs w:val="32"/>
          <w:shd w:val="clear" w:color="auto" w:fill="auto"/>
          <w:lang w:val="en-US" w:eastAsia="zh-CN"/>
        </w:rPr>
        <w:t>管委会</w:t>
      </w:r>
      <w:r>
        <w:rPr>
          <w:rFonts w:hint="default" w:ascii="Times New Roman" w:hAnsi="Times New Roman" w:eastAsia="仿宋_GB2312" w:cs="Times New Roman"/>
          <w:spacing w:val="0"/>
          <w:sz w:val="32"/>
          <w:szCs w:val="32"/>
          <w:shd w:val="clear" w:color="auto" w:fill="auto"/>
        </w:rPr>
        <w:t>组织开垦相应的耕地。</w:t>
      </w:r>
      <w:r>
        <w:rPr>
          <w:rFonts w:hint="default" w:ascii="Times New Roman" w:hAnsi="Times New Roman" w:eastAsia="仿宋_GB2312" w:cs="Times New Roman"/>
          <w:spacing w:val="0"/>
          <w:sz w:val="32"/>
          <w:szCs w:val="32"/>
          <w:shd w:val="clear" w:color="auto" w:fill="auto"/>
          <w:lang w:eastAsia="zh-CN"/>
        </w:rPr>
        <w:t>耕地开垦费和补充耕地资金</w:t>
      </w:r>
      <w:r>
        <w:rPr>
          <w:rFonts w:hint="eastAsia" w:ascii="Times New Roman" w:hAnsi="Times New Roman" w:eastAsia="仿宋_GB2312" w:cs="Times New Roman"/>
          <w:spacing w:val="0"/>
          <w:sz w:val="32"/>
          <w:szCs w:val="32"/>
          <w:shd w:val="clear" w:color="auto" w:fill="auto"/>
          <w:lang w:val="en-US" w:eastAsia="zh-CN"/>
        </w:rPr>
        <w:t>应</w:t>
      </w:r>
      <w:r>
        <w:rPr>
          <w:rFonts w:hint="default" w:ascii="Times New Roman" w:hAnsi="Times New Roman" w:eastAsia="仿宋_GB2312" w:cs="Times New Roman"/>
          <w:spacing w:val="0"/>
          <w:sz w:val="32"/>
          <w:szCs w:val="32"/>
          <w:shd w:val="clear" w:color="auto" w:fill="auto"/>
          <w:lang w:eastAsia="zh-CN"/>
        </w:rPr>
        <w:t>作为建设成本</w:t>
      </w:r>
      <w:r>
        <w:rPr>
          <w:rFonts w:hint="eastAsia" w:ascii="Times New Roman" w:hAnsi="Times New Roman" w:eastAsia="仿宋_GB2312" w:cs="Times New Roman"/>
          <w:spacing w:val="0"/>
          <w:sz w:val="32"/>
          <w:szCs w:val="32"/>
          <w:shd w:val="clear" w:color="auto" w:fill="auto"/>
          <w:lang w:val="en-US" w:eastAsia="zh-CN"/>
        </w:rPr>
        <w:t>或做地成本</w:t>
      </w:r>
      <w:r>
        <w:rPr>
          <w:rFonts w:hint="default" w:ascii="Times New Roman" w:hAnsi="Times New Roman" w:eastAsia="仿宋_GB2312" w:cs="Times New Roman"/>
          <w:spacing w:val="0"/>
          <w:sz w:val="32"/>
          <w:szCs w:val="32"/>
          <w:shd w:val="clear" w:color="auto" w:fill="auto"/>
          <w:lang w:eastAsia="zh-CN"/>
        </w:rPr>
        <w:t>，列入建设项目总投资</w:t>
      </w:r>
      <w:r>
        <w:rPr>
          <w:rFonts w:hint="eastAsia" w:ascii="Times New Roman" w:hAnsi="Times New Roman" w:eastAsia="仿宋_GB2312" w:cs="Times New Roman"/>
          <w:spacing w:val="0"/>
          <w:sz w:val="32"/>
          <w:szCs w:val="32"/>
          <w:shd w:val="clear" w:color="auto" w:fill="auto"/>
          <w:lang w:val="en-US" w:eastAsia="zh-CN"/>
        </w:rPr>
        <w:t>或生产成本</w:t>
      </w:r>
      <w:r>
        <w:rPr>
          <w:rFonts w:hint="default" w:ascii="Times New Roman" w:hAnsi="Times New Roman" w:eastAsia="仿宋_GB2312" w:cs="Times New Roman"/>
          <w:spacing w:val="0"/>
          <w:sz w:val="32"/>
          <w:szCs w:val="32"/>
          <w:shd w:val="clear" w:color="auto" w:fill="auto"/>
          <w:lang w:eastAsia="zh-CN"/>
        </w:rPr>
        <w:t>。</w:t>
      </w:r>
    </w:p>
    <w:p w14:paraId="40311EA3">
      <w:pPr>
        <w:keepNext w:val="0"/>
        <w:keepLines w:val="0"/>
        <w:pageBreakBefore w:val="0"/>
        <w:widowControl/>
        <w:kinsoku/>
        <w:wordWrap/>
        <w:overflowPunct/>
        <w:topLinePunct w:val="0"/>
        <w:autoSpaceDE/>
        <w:autoSpaceDN/>
        <w:bidi w:val="0"/>
        <w:adjustRightInd w:val="0"/>
        <w:snapToGrid/>
        <w:spacing w:line="560" w:lineRule="exact"/>
        <w:ind w:left="0" w:right="0" w:firstLine="619"/>
        <w:jc w:val="both"/>
        <w:textAlignment w:val="baseline"/>
        <w:outlineLvl w:val="9"/>
        <w:rPr>
          <w:rFonts w:hint="default" w:ascii="Times New Roman" w:hAnsi="Times New Roman" w:eastAsia="黑体" w:cs="Times New Roman"/>
          <w:spacing w:val="0"/>
          <w:sz w:val="32"/>
          <w:szCs w:val="32"/>
          <w:shd w:val="clear" w:color="auto" w:fill="auto"/>
          <w:lang w:eastAsia="zh-CN"/>
        </w:rPr>
      </w:pPr>
      <w:r>
        <w:rPr>
          <w:rFonts w:hint="default" w:ascii="Times New Roman" w:hAnsi="Times New Roman" w:eastAsia="黑体" w:cs="Times New Roman"/>
          <w:spacing w:val="0"/>
          <w:sz w:val="32"/>
          <w:szCs w:val="32"/>
          <w:shd w:val="clear" w:color="auto" w:fill="auto"/>
          <w:lang w:eastAsia="zh-CN"/>
        </w:rPr>
        <w:t>二、征收标准</w:t>
      </w:r>
    </w:p>
    <w:p w14:paraId="2D538185">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29"/>
        <w:jc w:val="both"/>
        <w:textAlignment w:val="baseline"/>
        <w:outlineLvl w:val="9"/>
        <w:rPr>
          <w:rFonts w:hint="eastAsia" w:ascii="楷体_GB2312" w:hAnsi="楷体_GB2312" w:eastAsia="楷体_GB2312" w:cs="楷体_GB2312"/>
          <w:spacing w:val="0"/>
          <w:sz w:val="32"/>
          <w:szCs w:val="32"/>
          <w:shd w:val="clear" w:color="auto" w:fill="auto"/>
          <w:lang w:val="en-US" w:eastAsia="zh-CN"/>
        </w:rPr>
      </w:pPr>
      <w:r>
        <w:rPr>
          <w:rFonts w:hint="eastAsia" w:ascii="楷体_GB2312" w:hAnsi="楷体_GB2312" w:eastAsia="楷体_GB2312" w:cs="楷体_GB2312"/>
          <w:spacing w:val="0"/>
          <w:sz w:val="32"/>
          <w:szCs w:val="32"/>
          <w:shd w:val="clear" w:color="auto" w:fill="auto"/>
          <w:lang w:val="en-US" w:eastAsia="zh-CN"/>
        </w:rPr>
        <w:t>（一）耕地开垦费</w:t>
      </w:r>
    </w:p>
    <w:p w14:paraId="23E46B36">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29"/>
        <w:jc w:val="both"/>
        <w:textAlignment w:val="baseline"/>
        <w:outlineLvl w:val="9"/>
        <w:rPr>
          <w:rFonts w:hint="default" w:ascii="Times New Roman" w:hAnsi="Times New Roman" w:eastAsia="仿宋_GB2312" w:cs="Times New Roman"/>
          <w:spacing w:val="0"/>
          <w:sz w:val="32"/>
          <w:szCs w:val="32"/>
          <w:shd w:val="clear" w:color="auto" w:fill="auto"/>
        </w:rPr>
      </w:pPr>
      <w:r>
        <w:rPr>
          <w:rFonts w:hint="eastAsia" w:ascii="Times New Roman" w:hAnsi="Times New Roman" w:eastAsia="仿宋_GB2312" w:cs="Times New Roman"/>
          <w:spacing w:val="0"/>
          <w:sz w:val="32"/>
          <w:szCs w:val="32"/>
          <w:shd w:val="clear" w:color="auto" w:fill="auto"/>
          <w:lang w:val="en-US" w:eastAsia="zh-CN"/>
        </w:rPr>
        <w:t>自2025年2月20日起，耕地开垦费标准：</w:t>
      </w:r>
      <w:r>
        <w:rPr>
          <w:rFonts w:hint="default" w:ascii="Times New Roman" w:hAnsi="Times New Roman" w:eastAsia="仿宋_GB2312" w:cs="Times New Roman"/>
          <w:spacing w:val="0"/>
          <w:sz w:val="32"/>
          <w:szCs w:val="32"/>
          <w:shd w:val="clear" w:color="auto" w:fill="auto"/>
          <w:lang w:val="en-US" w:eastAsia="zh-CN"/>
        </w:rPr>
        <w:t>根据建设</w:t>
      </w:r>
      <w:r>
        <w:rPr>
          <w:rFonts w:hint="default" w:ascii="Times New Roman" w:hAnsi="Times New Roman" w:eastAsia="仿宋_GB2312" w:cs="Times New Roman"/>
          <w:spacing w:val="0"/>
          <w:sz w:val="32"/>
          <w:szCs w:val="32"/>
          <w:shd w:val="clear" w:color="auto" w:fill="auto"/>
        </w:rPr>
        <w:t>占用耕地质量等别划分为4档</w:t>
      </w:r>
      <w:r>
        <w:rPr>
          <w:rFonts w:hint="eastAsia"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一类2—4等为72元/平方米，二类5—7等为64元/平方米，三类8—10等为56元/平方米，四类11—13等为40元/平方米</w:t>
      </w:r>
      <w:r>
        <w:rPr>
          <w:rFonts w:hint="eastAsia" w:ascii="Times New Roman" w:hAnsi="Times New Roman" w:eastAsia="仿宋_GB2312" w:cs="Times New Roman"/>
          <w:spacing w:val="0"/>
          <w:sz w:val="32"/>
          <w:szCs w:val="32"/>
          <w:shd w:val="clear" w:color="auto" w:fill="auto"/>
          <w:lang w:val="en-US" w:eastAsia="zh-CN"/>
        </w:rPr>
        <w:t>征收</w:t>
      </w:r>
      <w:r>
        <w:rPr>
          <w:rFonts w:hint="default" w:ascii="Times New Roman" w:hAnsi="Times New Roman" w:eastAsia="仿宋_GB2312" w:cs="Times New Roman"/>
          <w:spacing w:val="0"/>
          <w:sz w:val="32"/>
          <w:szCs w:val="32"/>
          <w:shd w:val="clear" w:color="auto" w:fill="auto"/>
        </w:rPr>
        <w:t>。经依法批准占用永久基本农田的，按照上述标准的2倍收缴。</w:t>
      </w:r>
    </w:p>
    <w:p w14:paraId="532351CB">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29"/>
        <w:jc w:val="both"/>
        <w:textAlignment w:val="baseline"/>
        <w:outlineLvl w:val="9"/>
        <w:rPr>
          <w:rFonts w:hint="eastAsia" w:ascii="楷体_GB2312" w:hAnsi="楷体_GB2312" w:eastAsia="楷体_GB2312" w:cs="楷体_GB2312"/>
          <w:spacing w:val="0"/>
          <w:sz w:val="32"/>
          <w:szCs w:val="32"/>
          <w:shd w:val="clear" w:color="auto" w:fill="auto"/>
          <w:lang w:val="en-US" w:eastAsia="zh-CN"/>
        </w:rPr>
      </w:pPr>
      <w:r>
        <w:rPr>
          <w:rFonts w:hint="eastAsia" w:ascii="楷体_GB2312" w:hAnsi="楷体_GB2312" w:eastAsia="楷体_GB2312" w:cs="楷体_GB2312"/>
          <w:spacing w:val="0"/>
          <w:sz w:val="32"/>
          <w:szCs w:val="32"/>
          <w:shd w:val="clear" w:color="auto" w:fill="auto"/>
          <w:lang w:val="en-US" w:eastAsia="zh-CN"/>
        </w:rPr>
        <w:t>（二）补充耕地资金</w:t>
      </w:r>
    </w:p>
    <w:p w14:paraId="6B7B43D0">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29"/>
        <w:jc w:val="both"/>
        <w:textAlignment w:val="baseline"/>
        <w:outlineLvl w:val="9"/>
        <w:rPr>
          <w:rFonts w:hint="default" w:ascii="Times New Roman" w:hAnsi="Times New Roman" w:eastAsia="仿宋_GB2312" w:cs="Times New Roman"/>
          <w:spacing w:val="0"/>
          <w:sz w:val="32"/>
          <w:szCs w:val="32"/>
          <w:shd w:val="clear" w:color="auto" w:fill="auto"/>
          <w:lang w:val="en-US" w:eastAsia="zh-CN"/>
        </w:rPr>
      </w:pPr>
      <w:r>
        <w:rPr>
          <w:rFonts w:hint="eastAsia" w:ascii="Times New Roman" w:hAnsi="Times New Roman" w:eastAsia="仿宋_GB2312" w:cs="Times New Roman"/>
          <w:spacing w:val="0"/>
          <w:sz w:val="32"/>
          <w:szCs w:val="32"/>
          <w:shd w:val="clear" w:color="auto" w:fill="auto"/>
          <w:lang w:val="en-US" w:eastAsia="zh-CN"/>
        </w:rPr>
        <w:t>市区</w:t>
      </w:r>
      <w:r>
        <w:rPr>
          <w:rFonts w:hint="default" w:ascii="Times New Roman" w:hAnsi="Times New Roman" w:eastAsia="仿宋_GB2312" w:cs="Times New Roman"/>
          <w:spacing w:val="0"/>
          <w:sz w:val="32"/>
          <w:szCs w:val="32"/>
          <w:shd w:val="clear" w:color="auto" w:fill="auto"/>
          <w:lang w:val="en-US" w:eastAsia="zh-CN"/>
        </w:rPr>
        <w:t>补充耕地资金标准为375元/平方米。</w:t>
      </w:r>
    </w:p>
    <w:p w14:paraId="4649FBBD">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29"/>
        <w:jc w:val="both"/>
        <w:textAlignment w:val="baseline"/>
        <w:outlineLvl w:val="9"/>
        <w:rPr>
          <w:rFonts w:hint="default" w:ascii="Times New Roman" w:hAnsi="Times New Roman" w:eastAsia="黑体" w:cs="Times New Roman"/>
          <w:spacing w:val="0"/>
          <w:sz w:val="32"/>
          <w:szCs w:val="32"/>
          <w:shd w:val="clear" w:color="auto" w:fill="auto"/>
          <w:lang w:val="en-US" w:eastAsia="zh-CN"/>
        </w:rPr>
      </w:pPr>
      <w:r>
        <w:rPr>
          <w:rFonts w:hint="default" w:ascii="Times New Roman" w:hAnsi="Times New Roman" w:eastAsia="黑体" w:cs="Times New Roman"/>
          <w:spacing w:val="0"/>
          <w:sz w:val="32"/>
          <w:szCs w:val="32"/>
          <w:shd w:val="clear" w:color="auto" w:fill="auto"/>
          <w:lang w:eastAsia="zh-CN"/>
        </w:rPr>
        <w:t>三、征收程序</w:t>
      </w:r>
      <w:r>
        <w:rPr>
          <w:rFonts w:hint="default" w:ascii="Times New Roman" w:hAnsi="Times New Roman" w:eastAsia="黑体" w:cs="Times New Roman"/>
          <w:spacing w:val="0"/>
          <w:sz w:val="32"/>
          <w:szCs w:val="32"/>
          <w:shd w:val="clear" w:color="auto" w:fill="auto"/>
          <w:lang w:val="en-US" w:eastAsia="zh-CN"/>
        </w:rPr>
        <w:t>和范围</w:t>
      </w:r>
    </w:p>
    <w:p w14:paraId="523955C7">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29"/>
        <w:jc w:val="both"/>
        <w:textAlignment w:val="baseline"/>
        <w:outlineLvl w:val="9"/>
        <w:rPr>
          <w:rFonts w:hint="default" w:ascii="Times New Roman" w:hAnsi="Times New Roman" w:eastAsia="仿宋_GB2312" w:cs="Times New Roman"/>
          <w:snapToGrid w:val="0"/>
          <w:color w:val="000000"/>
          <w:spacing w:val="0"/>
          <w:kern w:val="0"/>
          <w:sz w:val="32"/>
          <w:szCs w:val="32"/>
          <w:shd w:val="clear" w:color="auto" w:fill="auto"/>
          <w:lang w:val="en-US" w:eastAsia="zh-CN" w:bidi="ar-SA"/>
        </w:rPr>
      </w:pPr>
      <w:r>
        <w:rPr>
          <w:rFonts w:hint="default" w:ascii="Times New Roman" w:hAnsi="Times New Roman" w:eastAsia="仿宋_GB2312" w:cs="Times New Roman"/>
          <w:spacing w:val="0"/>
          <w:sz w:val="32"/>
          <w:szCs w:val="32"/>
          <w:shd w:val="clear" w:color="auto" w:fill="auto"/>
        </w:rPr>
        <w:t>用地主体在申请办理农用地转用审批时，按照规定标准</w:t>
      </w:r>
      <w:r>
        <w:rPr>
          <w:rFonts w:hint="default" w:ascii="Times New Roman" w:hAnsi="Times New Roman" w:eastAsia="仿宋_GB2312" w:cs="Times New Roman"/>
          <w:spacing w:val="0"/>
          <w:sz w:val="32"/>
          <w:szCs w:val="32"/>
          <w:shd w:val="clear" w:color="auto" w:fill="auto"/>
          <w:lang w:val="en-US" w:eastAsia="zh-CN"/>
        </w:rPr>
        <w:t>向属地自然资源部门</w:t>
      </w:r>
      <w:r>
        <w:rPr>
          <w:rFonts w:hint="default" w:ascii="Times New Roman" w:hAnsi="Times New Roman" w:eastAsia="仿宋_GB2312" w:cs="Times New Roman"/>
          <w:spacing w:val="0"/>
          <w:sz w:val="32"/>
          <w:szCs w:val="32"/>
          <w:shd w:val="clear" w:color="auto" w:fill="auto"/>
        </w:rPr>
        <w:t>足额缴纳耕地开垦费和补充耕地资金。</w:t>
      </w:r>
      <w:r>
        <w:rPr>
          <w:rFonts w:hint="eastAsia" w:ascii="Times New Roman" w:hAnsi="Times New Roman" w:eastAsia="仿宋_GB2312" w:cs="Times New Roman"/>
          <w:snapToGrid w:val="0"/>
          <w:color w:val="000000"/>
          <w:spacing w:val="0"/>
          <w:kern w:val="0"/>
          <w:sz w:val="32"/>
          <w:szCs w:val="32"/>
          <w:shd w:val="clear" w:color="auto" w:fill="auto"/>
          <w:lang w:val="en-US" w:eastAsia="zh-CN" w:bidi="ar-SA"/>
        </w:rPr>
        <w:t>其中：</w:t>
      </w:r>
      <w:r>
        <w:rPr>
          <w:rFonts w:hint="default" w:ascii="Times New Roman" w:hAnsi="Times New Roman" w:eastAsia="仿宋_GB2312" w:cs="Times New Roman"/>
          <w:snapToGrid w:val="0"/>
          <w:color w:val="000000"/>
          <w:spacing w:val="0"/>
          <w:kern w:val="0"/>
          <w:sz w:val="32"/>
          <w:szCs w:val="32"/>
          <w:shd w:val="clear" w:color="auto" w:fill="auto"/>
          <w:lang w:val="en-US" w:eastAsia="zh-CN" w:bidi="ar-SA"/>
        </w:rPr>
        <w:t>使用市直补充耕地指标（含已购入的国家统筹结余指标）的建设项目，耕地开垦费和补充耕地资金由市资规局负责执收，收入扣除上缴省级分成后全额归属市财政；其余项目涉及的耕地开垦费和补充耕地资金按属地原则由各区</w:t>
      </w:r>
      <w:r>
        <w:rPr>
          <w:rFonts w:hint="eastAsia" w:ascii="Times New Roman" w:hAnsi="Times New Roman" w:eastAsia="仿宋_GB2312" w:cs="Times New Roman"/>
          <w:snapToGrid w:val="0"/>
          <w:color w:val="000000"/>
          <w:spacing w:val="0"/>
          <w:kern w:val="0"/>
          <w:sz w:val="32"/>
          <w:szCs w:val="32"/>
          <w:shd w:val="clear" w:color="auto" w:fill="auto"/>
          <w:lang w:val="en-US" w:eastAsia="zh-CN" w:bidi="ar-SA"/>
        </w:rPr>
        <w:t>、管委会</w:t>
      </w:r>
      <w:r>
        <w:rPr>
          <w:rFonts w:hint="default" w:ascii="Times New Roman" w:hAnsi="Times New Roman" w:eastAsia="仿宋_GB2312" w:cs="Times New Roman"/>
          <w:snapToGrid w:val="0"/>
          <w:color w:val="000000"/>
          <w:spacing w:val="0"/>
          <w:kern w:val="0"/>
          <w:sz w:val="32"/>
          <w:szCs w:val="32"/>
          <w:shd w:val="clear" w:color="auto" w:fill="auto"/>
          <w:lang w:val="en-US" w:eastAsia="zh-CN" w:bidi="ar-SA"/>
        </w:rPr>
        <w:t>资规分局执收，收入扣除上缴省级分成后全额返还各区</w:t>
      </w:r>
      <w:r>
        <w:rPr>
          <w:rFonts w:hint="eastAsia" w:ascii="Times New Roman" w:hAnsi="Times New Roman" w:eastAsia="仿宋_GB2312" w:cs="Times New Roman"/>
          <w:snapToGrid w:val="0"/>
          <w:color w:val="000000"/>
          <w:spacing w:val="0"/>
          <w:kern w:val="0"/>
          <w:sz w:val="32"/>
          <w:szCs w:val="32"/>
          <w:shd w:val="clear" w:color="auto" w:fill="auto"/>
          <w:lang w:val="en-US" w:eastAsia="zh-CN" w:bidi="ar-SA"/>
        </w:rPr>
        <w:t>、管委会</w:t>
      </w:r>
      <w:r>
        <w:rPr>
          <w:rFonts w:hint="default" w:ascii="Times New Roman" w:hAnsi="Times New Roman" w:eastAsia="仿宋_GB2312" w:cs="Times New Roman"/>
          <w:snapToGrid w:val="0"/>
          <w:color w:val="000000"/>
          <w:spacing w:val="0"/>
          <w:kern w:val="0"/>
          <w:sz w:val="32"/>
          <w:szCs w:val="32"/>
          <w:shd w:val="clear" w:color="auto" w:fill="auto"/>
          <w:lang w:val="en-US" w:eastAsia="zh-CN" w:bidi="ar-SA"/>
        </w:rPr>
        <w:t>财政。</w:t>
      </w:r>
    </w:p>
    <w:p w14:paraId="4A495DF8">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29"/>
        <w:jc w:val="both"/>
        <w:textAlignment w:val="baseline"/>
        <w:outlineLvl w:val="9"/>
        <w:rPr>
          <w:rFonts w:hint="default" w:ascii="Times New Roman" w:hAnsi="Times New Roman" w:eastAsia="仿宋_GB2312" w:cs="Times New Roman"/>
          <w:spacing w:val="0"/>
          <w:sz w:val="32"/>
          <w:szCs w:val="32"/>
          <w:shd w:val="clear" w:color="auto" w:fill="auto"/>
          <w:lang w:val="en-US" w:eastAsia="zh-CN"/>
        </w:rPr>
      </w:pPr>
      <w:r>
        <w:rPr>
          <w:rFonts w:hint="eastAsia" w:ascii="Times New Roman" w:hAnsi="Times New Roman" w:eastAsia="仿宋_GB2312" w:cs="Times New Roman"/>
          <w:spacing w:val="0"/>
          <w:sz w:val="32"/>
          <w:szCs w:val="32"/>
          <w:shd w:val="clear" w:color="auto" w:fill="auto"/>
          <w:lang w:val="en-US" w:eastAsia="zh-CN"/>
        </w:rPr>
        <w:t>对于</w:t>
      </w:r>
      <w:r>
        <w:rPr>
          <w:rFonts w:hint="default" w:ascii="Times New Roman" w:hAnsi="Times New Roman" w:eastAsia="仿宋_GB2312" w:cs="Times New Roman"/>
          <w:spacing w:val="0"/>
          <w:sz w:val="32"/>
          <w:szCs w:val="32"/>
          <w:shd w:val="clear" w:color="auto" w:fill="auto"/>
          <w:lang w:val="en-US" w:eastAsia="zh-CN"/>
        </w:rPr>
        <w:t>单独选址项目，尤其是省级以上重大基础设施项目，应当</w:t>
      </w:r>
      <w:r>
        <w:rPr>
          <w:rFonts w:hint="default" w:ascii="Times New Roman" w:hAnsi="Times New Roman" w:eastAsia="仿宋_GB2312" w:cs="Times New Roman"/>
          <w:snapToGrid w:val="0"/>
          <w:color w:val="000000"/>
          <w:spacing w:val="0"/>
          <w:kern w:val="0"/>
          <w:sz w:val="32"/>
          <w:szCs w:val="32"/>
          <w:shd w:val="clear" w:color="auto" w:fill="auto"/>
          <w:lang w:val="en-US" w:eastAsia="zh-CN" w:bidi="ar-SA"/>
        </w:rPr>
        <w:t>优先</w:t>
      </w:r>
      <w:r>
        <w:rPr>
          <w:rFonts w:hint="eastAsia" w:ascii="Times New Roman" w:hAnsi="Times New Roman" w:eastAsia="仿宋_GB2312" w:cs="Times New Roman"/>
          <w:snapToGrid w:val="0"/>
          <w:color w:val="000000"/>
          <w:spacing w:val="0"/>
          <w:kern w:val="0"/>
          <w:sz w:val="32"/>
          <w:szCs w:val="32"/>
          <w:shd w:val="clear" w:color="auto" w:fill="auto"/>
          <w:lang w:val="en-US" w:eastAsia="zh-CN" w:bidi="ar-SA"/>
        </w:rPr>
        <w:t>申请</w:t>
      </w:r>
      <w:r>
        <w:rPr>
          <w:rFonts w:hint="default" w:ascii="Times New Roman" w:hAnsi="Times New Roman" w:eastAsia="仿宋_GB2312" w:cs="Times New Roman"/>
          <w:snapToGrid w:val="0"/>
          <w:color w:val="000000"/>
          <w:spacing w:val="0"/>
          <w:kern w:val="0"/>
          <w:sz w:val="32"/>
          <w:szCs w:val="32"/>
          <w:shd w:val="clear" w:color="auto" w:fill="auto"/>
          <w:lang w:val="en-US" w:eastAsia="zh-CN" w:bidi="ar-SA"/>
        </w:rPr>
        <w:t>使用</w:t>
      </w:r>
      <w:r>
        <w:rPr>
          <w:rFonts w:hint="eastAsia" w:ascii="Times New Roman" w:hAnsi="Times New Roman" w:eastAsia="仿宋_GB2312" w:cs="Times New Roman"/>
          <w:snapToGrid w:val="0"/>
          <w:color w:val="000000"/>
          <w:spacing w:val="0"/>
          <w:kern w:val="0"/>
          <w:sz w:val="32"/>
          <w:szCs w:val="32"/>
          <w:shd w:val="clear" w:color="auto" w:fill="auto"/>
          <w:lang w:val="en-US" w:eastAsia="zh-CN" w:bidi="ar-SA"/>
        </w:rPr>
        <w:t>已购入的</w:t>
      </w:r>
      <w:r>
        <w:rPr>
          <w:rFonts w:hint="default" w:ascii="Times New Roman" w:hAnsi="Times New Roman" w:eastAsia="仿宋_GB2312" w:cs="Times New Roman"/>
          <w:spacing w:val="0"/>
          <w:sz w:val="32"/>
          <w:szCs w:val="32"/>
          <w:shd w:val="clear" w:color="auto" w:fill="auto"/>
          <w:lang w:val="en-US" w:eastAsia="zh-CN"/>
        </w:rPr>
        <w:t>国家统筹补充耕地指标落实耕地占补平衡。对于其他各类建设项目</w:t>
      </w:r>
      <w:r>
        <w:rPr>
          <w:rFonts w:hint="default" w:ascii="Times New Roman" w:hAnsi="Times New Roman" w:eastAsia="仿宋_GB2312" w:cs="Times New Roman"/>
          <w:spacing w:val="0"/>
          <w:sz w:val="32"/>
          <w:szCs w:val="32"/>
          <w:shd w:val="clear" w:color="auto" w:fill="auto"/>
          <w:lang w:val="en-US" w:eastAsia="zh-CN"/>
        </w:rPr>
        <w:t>申请使用</w:t>
      </w:r>
      <w:r>
        <w:rPr>
          <w:rFonts w:hint="eastAsia" w:ascii="Times New Roman" w:hAnsi="Times New Roman" w:eastAsia="仿宋_GB2312" w:cs="Times New Roman"/>
          <w:spacing w:val="0"/>
          <w:sz w:val="32"/>
          <w:szCs w:val="32"/>
          <w:shd w:val="clear" w:color="auto" w:fill="auto"/>
          <w:lang w:val="en-US" w:eastAsia="zh-CN"/>
        </w:rPr>
        <w:t>已购入</w:t>
      </w:r>
      <w:r>
        <w:rPr>
          <w:rFonts w:hint="default" w:ascii="Times New Roman" w:hAnsi="Times New Roman" w:eastAsia="仿宋_GB2312" w:cs="Times New Roman"/>
          <w:spacing w:val="0"/>
          <w:sz w:val="32"/>
          <w:szCs w:val="32"/>
          <w:shd w:val="clear" w:color="auto" w:fill="auto"/>
          <w:lang w:val="en-US" w:eastAsia="zh-CN"/>
        </w:rPr>
        <w:t>国家统筹补充耕地指标的，予以全额保障。</w:t>
      </w:r>
    </w:p>
    <w:p w14:paraId="6D834D92">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29"/>
        <w:jc w:val="both"/>
        <w:textAlignment w:val="baseline"/>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Times New Roman" w:hAnsi="Times New Roman" w:eastAsia="仿宋_GB2312" w:cs="Times New Roman"/>
          <w:spacing w:val="0"/>
          <w:sz w:val="32"/>
          <w:szCs w:val="32"/>
          <w:shd w:val="clear" w:color="auto" w:fill="auto"/>
        </w:rPr>
        <w:t>对于使用</w:t>
      </w:r>
      <w:r>
        <w:rPr>
          <w:rFonts w:hint="default" w:ascii="Times New Roman" w:hAnsi="Times New Roman" w:eastAsia="仿宋_GB2312" w:cs="Times New Roman"/>
          <w:spacing w:val="0"/>
          <w:sz w:val="32"/>
          <w:szCs w:val="32"/>
          <w:shd w:val="clear" w:color="auto" w:fill="auto"/>
          <w:lang w:val="en-US" w:eastAsia="zh-CN"/>
        </w:rPr>
        <w:t>原先</w:t>
      </w:r>
      <w:r>
        <w:rPr>
          <w:rFonts w:hint="default" w:ascii="Times New Roman" w:hAnsi="Times New Roman" w:eastAsia="仿宋_GB2312" w:cs="Times New Roman"/>
          <w:spacing w:val="0"/>
          <w:sz w:val="32"/>
          <w:szCs w:val="32"/>
          <w:shd w:val="clear" w:color="auto" w:fill="auto"/>
        </w:rPr>
        <w:t>已购入的国家统筹、省统筹和跨市调剂指标的</w:t>
      </w:r>
      <w:r>
        <w:rPr>
          <w:rFonts w:hint="eastAsia" w:ascii="Times New Roman" w:hAnsi="Times New Roman" w:eastAsia="仿宋_GB2312" w:cs="Times New Roman"/>
          <w:spacing w:val="0"/>
          <w:sz w:val="32"/>
          <w:szCs w:val="32"/>
          <w:shd w:val="clear" w:color="auto" w:fill="auto"/>
          <w:lang w:val="en-US" w:eastAsia="zh-CN"/>
        </w:rPr>
        <w:t>保障的建设</w:t>
      </w:r>
      <w:r>
        <w:rPr>
          <w:rFonts w:hint="default" w:ascii="Times New Roman" w:hAnsi="Times New Roman" w:eastAsia="仿宋_GB2312" w:cs="Times New Roman"/>
          <w:spacing w:val="0"/>
          <w:sz w:val="32"/>
          <w:szCs w:val="32"/>
          <w:shd w:val="clear" w:color="auto" w:fill="auto"/>
        </w:rPr>
        <w:t>项目，</w:t>
      </w:r>
      <w:r>
        <w:rPr>
          <w:rFonts w:hint="default" w:ascii="Times New Roman" w:hAnsi="Times New Roman" w:eastAsia="仿宋_GB2312" w:cs="Times New Roman"/>
          <w:spacing w:val="0"/>
          <w:sz w:val="32"/>
          <w:szCs w:val="32"/>
          <w:shd w:val="clear" w:color="auto" w:fill="auto"/>
        </w:rPr>
        <w:t>按原调剂</w:t>
      </w:r>
      <w:r>
        <w:rPr>
          <w:rFonts w:hint="eastAsia" w:ascii="Times New Roman" w:hAnsi="Times New Roman" w:eastAsia="仿宋_GB2312" w:cs="Times New Roman"/>
          <w:spacing w:val="0"/>
          <w:sz w:val="32"/>
          <w:szCs w:val="32"/>
          <w:shd w:val="clear" w:color="auto" w:fill="auto"/>
          <w:lang w:eastAsia="zh-CN"/>
        </w:rPr>
        <w:t>的</w:t>
      </w:r>
      <w:r>
        <w:rPr>
          <w:rFonts w:hint="default" w:ascii="Times New Roman" w:hAnsi="Times New Roman" w:eastAsia="仿宋_GB2312" w:cs="Times New Roman"/>
          <w:spacing w:val="0"/>
          <w:sz w:val="32"/>
          <w:szCs w:val="32"/>
          <w:shd w:val="clear" w:color="auto" w:fill="auto"/>
        </w:rPr>
        <w:t>补充耕地指标价格</w:t>
      </w:r>
      <w:r>
        <w:rPr>
          <w:rFonts w:hint="eastAsia" w:ascii="Times New Roman" w:hAnsi="Times New Roman" w:eastAsia="仿宋_GB2312" w:cs="Times New Roman"/>
          <w:spacing w:val="0"/>
          <w:sz w:val="32"/>
          <w:szCs w:val="32"/>
          <w:shd w:val="clear" w:color="auto" w:fill="auto"/>
          <w:lang w:val="en-US" w:eastAsia="zh-CN"/>
        </w:rPr>
        <w:t>征收</w:t>
      </w:r>
      <w:r>
        <w:rPr>
          <w:rFonts w:hint="default" w:ascii="Times New Roman" w:hAnsi="Times New Roman" w:eastAsia="仿宋_GB2312" w:cs="Times New Roman"/>
          <w:spacing w:val="0"/>
          <w:sz w:val="32"/>
          <w:szCs w:val="32"/>
          <w:shd w:val="clear" w:color="auto" w:fill="auto"/>
        </w:rPr>
        <w:t>补充耕地资金。</w:t>
      </w:r>
    </w:p>
    <w:p w14:paraId="773190F6">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29"/>
        <w:jc w:val="both"/>
        <w:textAlignment w:val="baseline"/>
        <w:outlineLvl w:val="9"/>
        <w:rPr>
          <w:rFonts w:hint="default" w:ascii="Times New Roman" w:hAnsi="Times New Roman" w:eastAsia="黑体" w:cs="Times New Roman"/>
          <w:spacing w:val="0"/>
          <w:sz w:val="32"/>
          <w:szCs w:val="32"/>
          <w:shd w:val="clear" w:color="auto" w:fill="auto"/>
          <w:lang w:eastAsia="zh-CN"/>
        </w:rPr>
      </w:pPr>
      <w:r>
        <w:rPr>
          <w:rFonts w:hint="default" w:ascii="Times New Roman" w:hAnsi="Times New Roman" w:eastAsia="黑体" w:cs="Times New Roman"/>
          <w:spacing w:val="0"/>
          <w:sz w:val="32"/>
          <w:szCs w:val="32"/>
          <w:shd w:val="clear" w:color="auto" w:fill="auto"/>
          <w:lang w:eastAsia="zh-CN"/>
        </w:rPr>
        <w:t>四、资金使用和管理</w:t>
      </w:r>
    </w:p>
    <w:p w14:paraId="31AFE484">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29"/>
        <w:jc w:val="both"/>
        <w:textAlignment w:val="baseline"/>
        <w:outlineLvl w:val="9"/>
        <w:rPr>
          <w:rFonts w:hint="default" w:ascii="Times New Roman" w:hAnsi="Times New Roman" w:eastAsia="仿宋_GB2312" w:cs="Times New Roman"/>
          <w:spacing w:val="0"/>
          <w:sz w:val="32"/>
          <w:szCs w:val="32"/>
          <w:shd w:val="clear" w:color="auto" w:fill="auto"/>
          <w:lang w:val="en-US" w:eastAsia="zh-CN"/>
        </w:rPr>
      </w:pPr>
      <w:r>
        <w:rPr>
          <w:rFonts w:hint="default" w:ascii="Times New Roman" w:hAnsi="Times New Roman" w:eastAsia="仿宋_GB2312" w:cs="Times New Roman"/>
          <w:spacing w:val="0"/>
          <w:sz w:val="32"/>
          <w:szCs w:val="32"/>
          <w:shd w:val="clear" w:color="auto" w:fill="auto"/>
        </w:rPr>
        <w:t>耕地开垦费和补充耕地资金纳入一般公共预算管理，实行收支两条线管理</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lang w:val="en-US" w:eastAsia="zh-CN"/>
        </w:rPr>
        <w:t>耕地开垦费和补充耕地资金</w:t>
      </w:r>
      <w:r>
        <w:rPr>
          <w:rFonts w:hint="default" w:ascii="Times New Roman" w:hAnsi="Times New Roman" w:eastAsia="仿宋_GB2312" w:cs="Times New Roman"/>
          <w:spacing w:val="0"/>
          <w:sz w:val="32"/>
          <w:szCs w:val="32"/>
          <w:shd w:val="clear" w:color="auto" w:fill="auto"/>
        </w:rPr>
        <w:t>统筹用于耕地保护</w:t>
      </w:r>
      <w:r>
        <w:rPr>
          <w:rFonts w:hint="eastAsia" w:ascii="Times New Roman" w:hAnsi="Times New Roman" w:eastAsia="仿宋_GB2312" w:cs="Times New Roman"/>
          <w:spacing w:val="0"/>
          <w:sz w:val="32"/>
          <w:szCs w:val="32"/>
          <w:shd w:val="clear" w:color="auto" w:fill="auto"/>
          <w:lang w:val="en-US" w:eastAsia="zh-CN"/>
        </w:rPr>
        <w:t>、质量建设、“多田套合”</w:t>
      </w:r>
      <w:r>
        <w:rPr>
          <w:rFonts w:hint="default" w:ascii="Times New Roman" w:hAnsi="Times New Roman" w:eastAsia="仿宋_GB2312" w:cs="Times New Roman"/>
          <w:spacing w:val="0"/>
          <w:sz w:val="32"/>
          <w:szCs w:val="32"/>
          <w:shd w:val="clear" w:color="auto" w:fill="auto"/>
          <w:lang w:val="en-US" w:eastAsia="zh-CN"/>
        </w:rPr>
        <w:t>工作</w:t>
      </w:r>
      <w:r>
        <w:rPr>
          <w:rFonts w:hint="default" w:ascii="Times New Roman" w:hAnsi="Times New Roman" w:eastAsia="仿宋_GB2312" w:cs="Times New Roman"/>
          <w:spacing w:val="0"/>
          <w:sz w:val="32"/>
          <w:szCs w:val="32"/>
          <w:shd w:val="clear" w:color="auto" w:fill="auto"/>
        </w:rPr>
        <w:t>。</w:t>
      </w:r>
      <w:r>
        <w:rPr>
          <w:rFonts w:hint="eastAsia" w:ascii="Times New Roman" w:hAnsi="Times New Roman" w:eastAsia="仿宋_GB2312" w:cs="Times New Roman"/>
          <w:spacing w:val="0"/>
          <w:sz w:val="32"/>
          <w:szCs w:val="32"/>
          <w:shd w:val="clear" w:color="auto" w:fill="auto"/>
          <w:lang w:val="en-US" w:eastAsia="zh-CN"/>
        </w:rPr>
        <w:t>对未完成“多田套合”的地方，</w:t>
      </w:r>
      <w:r>
        <w:rPr>
          <w:rFonts w:hint="default" w:ascii="Times New Roman" w:hAnsi="Times New Roman" w:eastAsia="仿宋_GB2312" w:cs="Times New Roman"/>
          <w:spacing w:val="0"/>
          <w:sz w:val="32"/>
          <w:szCs w:val="32"/>
          <w:shd w:val="clear" w:color="auto" w:fill="auto"/>
          <w:lang w:val="en-US" w:eastAsia="zh-CN"/>
        </w:rPr>
        <w:t>2027年底前收取的补充耕地资金应专项用于“多田套合”工程。</w:t>
      </w:r>
    </w:p>
    <w:p w14:paraId="119149E0">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29"/>
        <w:jc w:val="both"/>
        <w:textAlignment w:val="baseline"/>
        <w:outlineLvl w:val="9"/>
        <w:rPr>
          <w:rFonts w:hint="default" w:ascii="Times New Roman" w:hAnsi="Times New Roman" w:eastAsia="仿宋_GB2312" w:cs="Times New Roman"/>
          <w:color w:val="auto"/>
          <w:sz w:val="32"/>
          <w:szCs w:val="32"/>
          <w:shd w:val="clear" w:color="auto" w:fill="auto"/>
          <w:lang w:val="en-US" w:eastAsia="zh-CN"/>
        </w:rPr>
      </w:pPr>
      <w:r>
        <w:rPr>
          <w:rFonts w:hint="eastAsia" w:ascii="Times New Roman" w:hAnsi="Times New Roman" w:eastAsia="仿宋_GB2312" w:cs="Times New Roman"/>
          <w:spacing w:val="0"/>
          <w:sz w:val="32"/>
          <w:szCs w:val="32"/>
          <w:shd w:val="clear" w:color="auto" w:fill="auto"/>
          <w:lang w:val="en-US" w:eastAsia="zh-CN"/>
        </w:rPr>
        <w:t>各区人民政府、管委会</w:t>
      </w:r>
      <w:r>
        <w:rPr>
          <w:rFonts w:hint="default" w:ascii="Times New Roman" w:hAnsi="Times New Roman" w:eastAsia="仿宋_GB2312" w:cs="Times New Roman"/>
          <w:spacing w:val="0"/>
          <w:sz w:val="32"/>
          <w:szCs w:val="32"/>
          <w:shd w:val="clear" w:color="auto" w:fill="auto"/>
          <w:lang w:val="en-US" w:eastAsia="zh-CN"/>
        </w:rPr>
        <w:t>要</w:t>
      </w:r>
      <w:r>
        <w:rPr>
          <w:rFonts w:hint="default" w:ascii="Times New Roman" w:hAnsi="Times New Roman" w:eastAsia="仿宋_GB2312" w:cs="Times New Roman"/>
          <w:spacing w:val="0"/>
          <w:sz w:val="32"/>
          <w:szCs w:val="32"/>
          <w:shd w:val="clear" w:color="auto" w:fill="auto"/>
        </w:rPr>
        <w:t>加强耕地开垦费和补充耕地资金的收缴和管理</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lang w:val="en-US" w:eastAsia="zh-CN"/>
        </w:rPr>
        <w:t>制订属地</w:t>
      </w:r>
      <w:r>
        <w:rPr>
          <w:rFonts w:hint="default" w:ascii="Times New Roman" w:hAnsi="Times New Roman" w:eastAsia="仿宋_GB2312" w:cs="Times New Roman"/>
          <w:color w:val="auto"/>
          <w:sz w:val="32"/>
          <w:szCs w:val="32"/>
          <w:shd w:val="clear" w:color="auto" w:fill="auto"/>
          <w:lang w:val="en-US" w:eastAsia="zh-CN"/>
        </w:rPr>
        <w:t>耕地开垦费和补充耕地资金收缴与使用管理</w:t>
      </w:r>
      <w:r>
        <w:rPr>
          <w:rFonts w:hint="eastAsia" w:ascii="Times New Roman" w:hAnsi="Times New Roman" w:eastAsia="仿宋_GB2312" w:cs="Times New Roman"/>
          <w:color w:val="auto"/>
          <w:sz w:val="32"/>
          <w:szCs w:val="32"/>
          <w:shd w:val="clear" w:color="auto" w:fill="auto"/>
          <w:lang w:val="en-US" w:eastAsia="zh-CN"/>
        </w:rPr>
        <w:t>细则</w:t>
      </w:r>
      <w:r>
        <w:rPr>
          <w:rFonts w:hint="default" w:ascii="Times New Roman" w:hAnsi="Times New Roman" w:eastAsia="仿宋_GB2312" w:cs="Times New Roman"/>
          <w:color w:val="auto"/>
          <w:sz w:val="32"/>
          <w:szCs w:val="32"/>
          <w:shd w:val="clear" w:color="auto" w:fill="auto"/>
          <w:lang w:val="en-US" w:eastAsia="zh-CN"/>
        </w:rPr>
        <w:t>，进一步</w:t>
      </w:r>
      <w:r>
        <w:rPr>
          <w:rFonts w:hint="default" w:ascii="Times New Roman" w:hAnsi="Times New Roman" w:eastAsia="仿宋_GB2312" w:cs="Times New Roman"/>
          <w:b w:val="0"/>
          <w:color w:val="000000"/>
          <w:kern w:val="0"/>
          <w:sz w:val="32"/>
          <w:szCs w:val="32"/>
          <w:shd w:val="clear" w:color="auto" w:fill="auto"/>
          <w:lang w:val="en-US" w:eastAsia="zh-CN" w:bidi="ar-SA"/>
        </w:rPr>
        <w:t>明确补充耕地资金</w:t>
      </w:r>
      <w:r>
        <w:rPr>
          <w:rFonts w:hint="default" w:ascii="Times New Roman" w:hAnsi="Times New Roman" w:eastAsia="仿宋_GB2312" w:cs="Times New Roman"/>
          <w:color w:val="auto"/>
          <w:sz w:val="32"/>
          <w:szCs w:val="32"/>
          <w:shd w:val="clear" w:color="auto" w:fill="auto"/>
          <w:lang w:val="en-US" w:eastAsia="zh-CN"/>
        </w:rPr>
        <w:t>收缴办法、操作流程、具体用途及支出方式等关键要素。</w:t>
      </w:r>
    </w:p>
    <w:p w14:paraId="012A5DB9">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29"/>
        <w:jc w:val="both"/>
        <w:textAlignment w:val="baseline"/>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color w:val="auto"/>
          <w:sz w:val="32"/>
          <w:szCs w:val="32"/>
          <w:shd w:val="clear" w:color="auto" w:fill="auto"/>
          <w:lang w:val="en-US" w:eastAsia="zh-CN"/>
        </w:rPr>
        <w:t>市</w:t>
      </w:r>
      <w:r>
        <w:rPr>
          <w:rFonts w:hint="eastAsia" w:ascii="Times New Roman" w:hAnsi="Times New Roman" w:eastAsia="仿宋_GB2312" w:cs="Times New Roman"/>
          <w:color w:val="auto"/>
          <w:sz w:val="32"/>
          <w:szCs w:val="32"/>
          <w:shd w:val="clear" w:color="auto" w:fill="auto"/>
          <w:lang w:val="en-US" w:eastAsia="zh-CN"/>
        </w:rPr>
        <w:t>人民</w:t>
      </w:r>
      <w:r>
        <w:rPr>
          <w:rFonts w:hint="default" w:ascii="Times New Roman" w:hAnsi="Times New Roman" w:eastAsia="仿宋_GB2312" w:cs="Times New Roman"/>
          <w:color w:val="auto"/>
          <w:sz w:val="32"/>
          <w:szCs w:val="32"/>
          <w:shd w:val="clear" w:color="auto" w:fill="auto"/>
          <w:lang w:val="en-US" w:eastAsia="zh-CN"/>
        </w:rPr>
        <w:t>政府将</w:t>
      </w:r>
      <w:r>
        <w:rPr>
          <w:rFonts w:hint="default" w:ascii="Times New Roman" w:hAnsi="Times New Roman" w:eastAsia="仿宋_GB2312" w:cs="Times New Roman"/>
          <w:spacing w:val="0"/>
          <w:sz w:val="32"/>
          <w:szCs w:val="32"/>
          <w:shd w:val="clear" w:color="auto" w:fill="auto"/>
        </w:rPr>
        <w:t>定期组织发展改革、财政、</w:t>
      </w:r>
      <w:r>
        <w:rPr>
          <w:rFonts w:hint="default" w:ascii="Times New Roman" w:hAnsi="Times New Roman" w:eastAsia="仿宋_GB2312" w:cs="Times New Roman"/>
          <w:spacing w:val="0"/>
          <w:sz w:val="32"/>
          <w:szCs w:val="32"/>
          <w:shd w:val="clear" w:color="auto" w:fill="auto"/>
          <w:lang w:val="en-US" w:eastAsia="zh-CN"/>
        </w:rPr>
        <w:t>自然资源</w:t>
      </w:r>
      <w:r>
        <w:rPr>
          <w:rFonts w:hint="default" w:ascii="Times New Roman" w:hAnsi="Times New Roman" w:eastAsia="仿宋_GB2312" w:cs="Times New Roman"/>
          <w:spacing w:val="0"/>
          <w:sz w:val="32"/>
          <w:szCs w:val="32"/>
          <w:shd w:val="clear" w:color="auto" w:fill="auto"/>
        </w:rPr>
        <w:t>、审计、市场监管等部门对耕地开垦费和补充耕地资金的收缴、使用和管理情况进行监督检查，如有违纪违法行为的，依据有关法律、法规和规定进行严肃处理。</w:t>
      </w:r>
    </w:p>
    <w:p w14:paraId="2598850A">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right="0" w:firstLine="640" w:firstLineChars="200"/>
        <w:jc w:val="both"/>
        <w:textAlignment w:val="baseline"/>
        <w:outlineLvl w:val="9"/>
        <w:rPr>
          <w:rFonts w:hint="default" w:ascii="Times New Roman" w:hAnsi="Times New Roman" w:eastAsia="黑体" w:cs="Times New Roman"/>
          <w:spacing w:val="0"/>
          <w:sz w:val="32"/>
          <w:szCs w:val="32"/>
          <w:shd w:val="clear" w:color="auto" w:fill="auto"/>
          <w:lang w:eastAsia="zh-CN"/>
        </w:rPr>
      </w:pPr>
      <w:r>
        <w:rPr>
          <w:rFonts w:hint="default" w:ascii="Times New Roman" w:hAnsi="Times New Roman" w:eastAsia="黑体" w:cs="Times New Roman"/>
          <w:spacing w:val="0"/>
          <w:sz w:val="32"/>
          <w:szCs w:val="32"/>
          <w:shd w:val="clear" w:color="auto" w:fill="auto"/>
          <w:lang w:eastAsia="zh-CN"/>
        </w:rPr>
        <w:t>五、其他事项</w:t>
      </w:r>
    </w:p>
    <w:p w14:paraId="61737EB2">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right="0" w:firstLine="640" w:firstLineChars="200"/>
        <w:jc w:val="both"/>
        <w:textAlignment w:val="baseline"/>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凡依法利用农村集体所有土地或国有土地</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含依法征收为国有土地</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用于农民建房或农民住房安置的新建、翻建自用住房，</w:t>
      </w:r>
      <w:r>
        <w:rPr>
          <w:rFonts w:hint="default" w:ascii="Times New Roman" w:hAnsi="Times New Roman" w:eastAsia="仿宋_GB2312" w:cs="Times New Roman"/>
          <w:spacing w:val="0"/>
          <w:sz w:val="32"/>
          <w:szCs w:val="32"/>
          <w:shd w:val="clear" w:color="auto" w:fill="auto"/>
        </w:rPr>
        <w:t>不缴纳耕地开垦费</w:t>
      </w:r>
      <w:r>
        <w:rPr>
          <w:rFonts w:hint="eastAsia" w:ascii="Times New Roman" w:hAnsi="Times New Roman" w:eastAsia="仿宋_GB2312" w:cs="Times New Roman"/>
          <w:spacing w:val="0"/>
          <w:sz w:val="32"/>
          <w:szCs w:val="32"/>
          <w:shd w:val="clear" w:color="auto" w:fill="auto"/>
          <w:lang w:val="en-US" w:eastAsia="zh-CN"/>
        </w:rPr>
        <w:t>和补充耕地资金</w:t>
      </w:r>
      <w:r>
        <w:rPr>
          <w:rFonts w:hint="default" w:ascii="Times New Roman" w:hAnsi="Times New Roman" w:eastAsia="仿宋_GB2312" w:cs="Times New Roman"/>
          <w:spacing w:val="0"/>
          <w:sz w:val="32"/>
          <w:szCs w:val="32"/>
          <w:shd w:val="clear" w:color="auto" w:fill="auto"/>
        </w:rPr>
        <w:t>，</w:t>
      </w:r>
      <w:r>
        <w:rPr>
          <w:rFonts w:hint="default" w:ascii="Times New Roman" w:hAnsi="Times New Roman" w:eastAsia="仿宋_GB2312" w:cs="Times New Roman"/>
          <w:spacing w:val="0"/>
          <w:sz w:val="32"/>
          <w:szCs w:val="32"/>
          <w:shd w:val="clear" w:color="auto" w:fill="auto"/>
        </w:rPr>
        <w:t>由所在区</w:t>
      </w:r>
      <w:r>
        <w:rPr>
          <w:rFonts w:hint="eastAsia" w:ascii="Times New Roman" w:hAnsi="Times New Roman" w:eastAsia="仿宋_GB2312" w:cs="Times New Roman"/>
          <w:spacing w:val="0"/>
          <w:sz w:val="32"/>
          <w:szCs w:val="32"/>
          <w:shd w:val="clear" w:color="auto" w:fill="auto"/>
          <w:lang w:val="en-US" w:eastAsia="zh-CN"/>
        </w:rPr>
        <w:t>人民</w:t>
      </w:r>
      <w:r>
        <w:rPr>
          <w:rFonts w:hint="default" w:ascii="Times New Roman" w:hAnsi="Times New Roman" w:eastAsia="仿宋_GB2312" w:cs="Times New Roman"/>
          <w:spacing w:val="0"/>
          <w:sz w:val="32"/>
          <w:szCs w:val="32"/>
          <w:shd w:val="clear" w:color="auto" w:fill="auto"/>
        </w:rPr>
        <w:t>政府</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lang w:val="en-US" w:eastAsia="zh-CN"/>
        </w:rPr>
        <w:t>管委会</w:t>
      </w:r>
      <w:r>
        <w:rPr>
          <w:rFonts w:hint="default" w:ascii="Times New Roman" w:hAnsi="Times New Roman" w:eastAsia="仿宋_GB2312" w:cs="Times New Roman"/>
          <w:spacing w:val="0"/>
          <w:sz w:val="32"/>
          <w:szCs w:val="32"/>
          <w:shd w:val="clear" w:color="auto" w:fill="auto"/>
        </w:rPr>
        <w:t>统筹落实补充耕地任务。</w:t>
      </w:r>
    </w:p>
    <w:p w14:paraId="5186687E">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19"/>
        <w:jc w:val="both"/>
        <w:textAlignment w:val="baseline"/>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城乡建设用地增减挂钩项目区内新建农村居民安置住房和农村公共服务、基础设施用地，未超过项目增减挂钩建设用地复耕总面积的，</w:t>
      </w:r>
      <w:r>
        <w:rPr>
          <w:rFonts w:hint="default" w:ascii="Times New Roman" w:hAnsi="Times New Roman" w:eastAsia="仿宋_GB2312" w:cs="Times New Roman"/>
          <w:spacing w:val="0"/>
          <w:sz w:val="32"/>
          <w:szCs w:val="32"/>
          <w:shd w:val="clear" w:color="auto" w:fill="auto"/>
        </w:rPr>
        <w:t>不缴纳耕地开垦费</w:t>
      </w:r>
      <w:r>
        <w:rPr>
          <w:rFonts w:hint="eastAsia" w:ascii="Times New Roman" w:hAnsi="Times New Roman" w:eastAsia="仿宋_GB2312" w:cs="Times New Roman"/>
          <w:spacing w:val="0"/>
          <w:sz w:val="32"/>
          <w:szCs w:val="32"/>
          <w:shd w:val="clear" w:color="auto" w:fill="auto"/>
          <w:lang w:val="en-US" w:eastAsia="zh-CN"/>
        </w:rPr>
        <w:t>和补充耕地资金</w:t>
      </w:r>
      <w:r>
        <w:rPr>
          <w:rFonts w:hint="default" w:ascii="Times New Roman" w:hAnsi="Times New Roman" w:eastAsia="仿宋_GB2312" w:cs="Times New Roman"/>
          <w:spacing w:val="0"/>
          <w:sz w:val="32"/>
          <w:szCs w:val="32"/>
          <w:shd w:val="clear" w:color="auto" w:fill="auto"/>
        </w:rPr>
        <w:t>。</w:t>
      </w:r>
    </w:p>
    <w:p w14:paraId="6DFD9760">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19"/>
        <w:jc w:val="both"/>
        <w:textAlignment w:val="baseline"/>
        <w:outlineLvl w:val="9"/>
        <w:rPr>
          <w:rFonts w:hint="default" w:ascii="Times New Roman" w:hAnsi="Times New Roman" w:eastAsia="仿宋_GB2312" w:cs="Times New Roman"/>
          <w:spacing w:val="0"/>
          <w:sz w:val="32"/>
          <w:szCs w:val="32"/>
          <w:shd w:val="clear" w:color="auto" w:fill="auto"/>
          <w:lang w:eastAsia="zh-CN"/>
        </w:rPr>
      </w:pPr>
      <w:r>
        <w:rPr>
          <w:rFonts w:hint="default" w:ascii="Times New Roman" w:hAnsi="Times New Roman" w:eastAsia="仿宋_GB2312" w:cs="Times New Roman"/>
          <w:spacing w:val="0"/>
          <w:sz w:val="32"/>
          <w:szCs w:val="32"/>
          <w:shd w:val="clear" w:color="auto" w:fill="auto"/>
        </w:rPr>
        <w:t>非农业建设经批准占用园地的，不缴纳耕地开垦费</w:t>
      </w:r>
      <w:r>
        <w:rPr>
          <w:rFonts w:hint="default" w:ascii="Times New Roman" w:hAnsi="Times New Roman" w:eastAsia="仿宋_GB2312" w:cs="Times New Roman"/>
          <w:spacing w:val="0"/>
          <w:sz w:val="32"/>
          <w:szCs w:val="32"/>
          <w:shd w:val="clear" w:color="auto" w:fill="auto"/>
          <w:lang w:eastAsia="zh-CN"/>
        </w:rPr>
        <w:t>。</w:t>
      </w:r>
    </w:p>
    <w:p w14:paraId="21A23DEF">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19"/>
        <w:jc w:val="both"/>
        <w:textAlignment w:val="baseline"/>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其他耕地开垦费减免政策按国家有关规定执行。</w:t>
      </w:r>
    </w:p>
    <w:p w14:paraId="21E79A90">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19"/>
        <w:jc w:val="both"/>
        <w:textAlignment w:val="baseline"/>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此前</w:t>
      </w:r>
      <w:r>
        <w:rPr>
          <w:rFonts w:hint="default" w:ascii="Times New Roman" w:hAnsi="Times New Roman" w:eastAsia="仿宋_GB2312" w:cs="Times New Roman"/>
          <w:spacing w:val="0"/>
          <w:sz w:val="32"/>
          <w:szCs w:val="32"/>
          <w:shd w:val="clear" w:color="auto" w:fill="auto"/>
          <w:lang w:eastAsia="zh-CN"/>
        </w:rPr>
        <w:t>市</w:t>
      </w:r>
      <w:r>
        <w:rPr>
          <w:rFonts w:hint="default" w:ascii="Times New Roman" w:hAnsi="Times New Roman" w:eastAsia="仿宋_GB2312" w:cs="Times New Roman"/>
          <w:spacing w:val="0"/>
          <w:sz w:val="32"/>
          <w:szCs w:val="32"/>
          <w:shd w:val="clear" w:color="auto" w:fill="auto"/>
        </w:rPr>
        <w:t>内相关</w:t>
      </w:r>
      <w:r>
        <w:rPr>
          <w:rFonts w:hint="default" w:ascii="Times New Roman" w:hAnsi="Times New Roman" w:eastAsia="仿宋_GB2312" w:cs="Times New Roman"/>
          <w:spacing w:val="0"/>
          <w:sz w:val="32"/>
          <w:szCs w:val="32"/>
          <w:shd w:val="clear" w:color="auto" w:fill="auto"/>
          <w:lang w:val="en-US" w:eastAsia="zh-CN"/>
        </w:rPr>
        <w:t>政策</w:t>
      </w:r>
      <w:r>
        <w:rPr>
          <w:rFonts w:hint="default" w:ascii="Times New Roman" w:hAnsi="Times New Roman" w:eastAsia="仿宋_GB2312" w:cs="Times New Roman"/>
          <w:spacing w:val="0"/>
          <w:sz w:val="32"/>
          <w:szCs w:val="32"/>
          <w:shd w:val="clear" w:color="auto" w:fill="auto"/>
        </w:rPr>
        <w:t>与本通知规定不一致的，以本通知为准。</w:t>
      </w:r>
    </w:p>
    <w:p w14:paraId="4A475F28">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19"/>
        <w:jc w:val="both"/>
        <w:textAlignment w:val="baseline"/>
        <w:outlineLvl w:val="9"/>
        <w:rPr>
          <w:rFonts w:hint="default" w:ascii="Times New Roman" w:hAnsi="Times New Roman" w:eastAsia="仿宋_GB2312" w:cs="Times New Roman"/>
          <w:spacing w:val="0"/>
          <w:sz w:val="32"/>
          <w:szCs w:val="32"/>
          <w:shd w:val="clear" w:color="auto" w:fill="auto"/>
        </w:rPr>
      </w:pPr>
    </w:p>
    <w:p w14:paraId="17FAC7AD">
      <w:pPr>
        <w:pStyle w:val="3"/>
        <w:keepNext w:val="0"/>
        <w:keepLines w:val="0"/>
        <w:pageBreakBefore w:val="0"/>
        <w:widowControl/>
        <w:kinsoku/>
        <w:wordWrap/>
        <w:overflowPunct/>
        <w:topLinePunct w:val="0"/>
        <w:autoSpaceDE/>
        <w:autoSpaceDN/>
        <w:bidi w:val="0"/>
        <w:adjustRightInd w:val="0"/>
        <w:snapToGrid/>
        <w:spacing w:line="560" w:lineRule="exact"/>
        <w:ind w:right="0" w:firstLine="640" w:firstLineChars="200"/>
        <w:textAlignment w:val="baseline"/>
        <w:outlineLvl w:val="9"/>
        <w:rPr>
          <w:rFonts w:hint="eastAsia" w:ascii="Times New Roman" w:hAnsi="Times New Roman" w:eastAsia="仿宋_GB2312" w:cs="Times New Roman"/>
          <w:spacing w:val="0"/>
          <w:sz w:val="32"/>
          <w:szCs w:val="32"/>
          <w:shd w:val="clear" w:color="auto" w:fill="auto"/>
          <w:lang w:val="en-US" w:eastAsia="zh-CN"/>
        </w:rPr>
      </w:pPr>
      <w:r>
        <w:rPr>
          <w:rFonts w:hint="default" w:ascii="Times New Roman" w:hAnsi="Times New Roman" w:eastAsia="仿宋_GB2312" w:cs="Times New Roman"/>
          <w:spacing w:val="0"/>
          <w:sz w:val="32"/>
          <w:szCs w:val="32"/>
          <w:shd w:val="clear" w:color="auto" w:fill="auto"/>
          <w:lang w:val="en-US" w:eastAsia="zh-CN"/>
        </w:rPr>
        <w:t>金华</w:t>
      </w:r>
      <w:r>
        <w:rPr>
          <w:rFonts w:hint="default" w:ascii="Times New Roman" w:hAnsi="Times New Roman" w:eastAsia="仿宋_GB2312" w:cs="Times New Roman"/>
          <w:spacing w:val="0"/>
          <w:sz w:val="32"/>
          <w:szCs w:val="32"/>
          <w:shd w:val="clear" w:color="auto" w:fill="auto"/>
          <w:lang w:eastAsia="zh-CN"/>
        </w:rPr>
        <w:t>市</w:t>
      </w:r>
      <w:r>
        <w:rPr>
          <w:rFonts w:hint="eastAsia" w:ascii="Times New Roman" w:hAnsi="Times New Roman" w:eastAsia="仿宋_GB2312" w:cs="Times New Roman"/>
          <w:spacing w:val="0"/>
          <w:sz w:val="32"/>
          <w:szCs w:val="32"/>
          <w:shd w:val="clear" w:color="auto" w:fill="auto"/>
          <w:lang w:val="en-US" w:eastAsia="zh-CN"/>
        </w:rPr>
        <w:t xml:space="preserve">自然资源和规划局           金华市发展和改革委      </w:t>
      </w:r>
    </w:p>
    <w:p w14:paraId="4E711E91">
      <w:pPr>
        <w:pStyle w:val="3"/>
        <w:keepNext w:val="0"/>
        <w:keepLines w:val="0"/>
        <w:pageBreakBefore w:val="0"/>
        <w:widowControl/>
        <w:kinsoku/>
        <w:wordWrap/>
        <w:overflowPunct/>
        <w:topLinePunct w:val="0"/>
        <w:autoSpaceDE/>
        <w:autoSpaceDN/>
        <w:bidi w:val="0"/>
        <w:adjustRightInd w:val="0"/>
        <w:snapToGrid/>
        <w:spacing w:line="560" w:lineRule="exact"/>
        <w:ind w:right="0" w:firstLine="640" w:firstLineChars="200"/>
        <w:textAlignment w:val="baseline"/>
        <w:outlineLvl w:val="9"/>
        <w:rPr>
          <w:rFonts w:hint="eastAsia" w:ascii="Times New Roman" w:hAnsi="Times New Roman" w:eastAsia="仿宋_GB2312" w:cs="Times New Roman"/>
          <w:spacing w:val="0"/>
          <w:sz w:val="32"/>
          <w:szCs w:val="32"/>
          <w:shd w:val="clear" w:color="auto" w:fill="auto"/>
          <w:lang w:val="en-US" w:eastAsia="zh-CN"/>
        </w:rPr>
      </w:pPr>
      <w:bookmarkStart w:id="0" w:name="_GoBack"/>
      <w:bookmarkEnd w:id="0"/>
    </w:p>
    <w:p w14:paraId="3EC9E457">
      <w:pPr>
        <w:pStyle w:val="3"/>
        <w:keepNext w:val="0"/>
        <w:keepLines w:val="0"/>
        <w:pageBreakBefore w:val="0"/>
        <w:widowControl/>
        <w:kinsoku/>
        <w:wordWrap/>
        <w:overflowPunct/>
        <w:topLinePunct w:val="0"/>
        <w:autoSpaceDE/>
        <w:autoSpaceDN/>
        <w:bidi w:val="0"/>
        <w:adjustRightInd w:val="0"/>
        <w:snapToGrid/>
        <w:spacing w:line="560" w:lineRule="exact"/>
        <w:ind w:right="0" w:firstLine="640" w:firstLineChars="200"/>
        <w:textAlignment w:val="baseline"/>
        <w:outlineLvl w:val="9"/>
        <w:rPr>
          <w:rFonts w:hint="eastAsia" w:ascii="Times New Roman" w:hAnsi="Times New Roman" w:eastAsia="仿宋_GB2312" w:cs="Times New Roman"/>
          <w:spacing w:val="0"/>
          <w:sz w:val="32"/>
          <w:szCs w:val="32"/>
          <w:shd w:val="clear" w:color="auto" w:fill="auto"/>
          <w:lang w:val="en-US" w:eastAsia="zh-CN"/>
        </w:rPr>
      </w:pPr>
    </w:p>
    <w:p w14:paraId="0C440C5B">
      <w:pPr>
        <w:pStyle w:val="3"/>
        <w:keepNext w:val="0"/>
        <w:keepLines w:val="0"/>
        <w:pageBreakBefore w:val="0"/>
        <w:widowControl/>
        <w:kinsoku/>
        <w:wordWrap/>
        <w:overflowPunct/>
        <w:topLinePunct w:val="0"/>
        <w:autoSpaceDE/>
        <w:autoSpaceDN/>
        <w:bidi w:val="0"/>
        <w:adjustRightInd w:val="0"/>
        <w:snapToGrid/>
        <w:spacing w:line="560" w:lineRule="exact"/>
        <w:ind w:right="0" w:firstLine="5440" w:firstLineChars="1700"/>
        <w:textAlignment w:val="baseline"/>
        <w:outlineLvl w:val="9"/>
        <w:rPr>
          <w:rFonts w:hint="default" w:ascii="Times New Roman" w:hAnsi="Times New Roman" w:eastAsia="仿宋_GB2312" w:cs="Times New Roman"/>
          <w:spacing w:val="0"/>
          <w:sz w:val="32"/>
          <w:szCs w:val="32"/>
          <w:shd w:val="clear" w:color="auto" w:fill="auto"/>
          <w:lang w:val="en-US" w:eastAsia="zh-CN"/>
        </w:rPr>
      </w:pPr>
      <w:r>
        <w:rPr>
          <w:rFonts w:hint="eastAsia" w:ascii="Times New Roman" w:hAnsi="Times New Roman" w:eastAsia="仿宋_GB2312" w:cs="Times New Roman"/>
          <w:spacing w:val="0"/>
          <w:sz w:val="32"/>
          <w:szCs w:val="32"/>
          <w:shd w:val="clear" w:color="auto" w:fill="auto"/>
          <w:lang w:val="en-US" w:eastAsia="zh-CN"/>
        </w:rPr>
        <w:t xml:space="preserve">   金华市财政局</w:t>
      </w:r>
    </w:p>
    <w:p w14:paraId="39E17AD3">
      <w:pPr>
        <w:pStyle w:val="3"/>
        <w:keepNext w:val="0"/>
        <w:keepLines w:val="0"/>
        <w:pageBreakBefore w:val="0"/>
        <w:widowControl/>
        <w:kinsoku/>
        <w:wordWrap/>
        <w:overflowPunct/>
        <w:topLinePunct w:val="0"/>
        <w:autoSpaceDE/>
        <w:autoSpaceDN/>
        <w:bidi w:val="0"/>
        <w:adjustRightInd w:val="0"/>
        <w:snapToGrid/>
        <w:spacing w:line="560" w:lineRule="exact"/>
        <w:ind w:left="0" w:right="0" w:firstLine="5760" w:firstLineChars="1800"/>
        <w:textAlignment w:val="baseline"/>
        <w:outlineLvl w:val="9"/>
        <w:rPr>
          <w:rFonts w:hint="default" w:ascii="Times New Roman" w:hAnsi="Times New Roman" w:eastAsia="仿宋_GB2312" w:cs="Times New Roman"/>
          <w:spacing w:val="0"/>
          <w:sz w:val="32"/>
          <w:szCs w:val="32"/>
          <w:shd w:val="clear" w:color="auto" w:fill="auto"/>
        </w:rPr>
      </w:pPr>
      <w:r>
        <w:rPr>
          <w:rFonts w:hint="default" w:ascii="Times New Roman" w:hAnsi="Times New Roman" w:eastAsia="仿宋_GB2312" w:cs="Times New Roman"/>
          <w:spacing w:val="0"/>
          <w:sz w:val="32"/>
          <w:szCs w:val="32"/>
          <w:shd w:val="clear" w:color="auto" w:fill="auto"/>
        </w:rPr>
        <w:t>年</w:t>
      </w:r>
      <w:r>
        <w:rPr>
          <w:rFonts w:hint="eastAsia" w:ascii="Times New Roman" w:hAnsi="Times New Roman" w:eastAsia="仿宋_GB2312" w:cs="Times New Roman"/>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 xml:space="preserve"> </w:t>
      </w:r>
      <w:r>
        <w:rPr>
          <w:rFonts w:hint="default" w:ascii="Times New Roman" w:hAnsi="Times New Roman" w:eastAsia="仿宋_GB2312" w:cs="Times New Roman"/>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月</w:t>
      </w:r>
      <w:r>
        <w:rPr>
          <w:rFonts w:hint="eastAsia" w:ascii="Times New Roman" w:hAnsi="Times New Roman" w:eastAsia="仿宋_GB2312" w:cs="Times New Roman"/>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 xml:space="preserve"> </w:t>
      </w:r>
      <w:r>
        <w:rPr>
          <w:rFonts w:hint="default" w:ascii="Times New Roman" w:hAnsi="Times New Roman" w:eastAsia="仿宋_GB2312" w:cs="Times New Roman"/>
          <w:spacing w:val="0"/>
          <w:sz w:val="32"/>
          <w:szCs w:val="32"/>
          <w:shd w:val="clear" w:color="auto" w:fill="auto"/>
          <w:lang w:val="en-US" w:eastAsia="zh-CN"/>
        </w:rPr>
        <w:t xml:space="preserve">  </w:t>
      </w:r>
      <w:r>
        <w:rPr>
          <w:rFonts w:hint="default" w:ascii="Times New Roman" w:hAnsi="Times New Roman" w:eastAsia="仿宋_GB2312" w:cs="Times New Roman"/>
          <w:spacing w:val="0"/>
          <w:sz w:val="32"/>
          <w:szCs w:val="32"/>
          <w:shd w:val="clear" w:color="auto" w:fill="auto"/>
        </w:rPr>
        <w:t>日</w:t>
      </w:r>
    </w:p>
    <w:p w14:paraId="2716ADB6">
      <w:pPr>
        <w:pStyle w:val="3"/>
        <w:keepNext w:val="0"/>
        <w:keepLines w:val="0"/>
        <w:pageBreakBefore w:val="0"/>
        <w:widowControl/>
        <w:kinsoku/>
        <w:wordWrap/>
        <w:overflowPunct/>
        <w:topLinePunct w:val="0"/>
        <w:autoSpaceDE/>
        <w:autoSpaceDN/>
        <w:bidi w:val="0"/>
        <w:adjustRightInd w:val="0"/>
        <w:snapToGrid/>
        <w:spacing w:line="560" w:lineRule="exact"/>
        <w:ind w:left="0" w:right="0" w:firstLine="5440" w:firstLineChars="1700"/>
        <w:textAlignment w:val="baseline"/>
        <w:outlineLvl w:val="9"/>
        <w:rPr>
          <w:rFonts w:hint="default" w:ascii="Times New Roman" w:hAnsi="Times New Roman" w:eastAsia="仿宋_GB2312" w:cs="Times New Roman"/>
          <w:spacing w:val="0"/>
          <w:sz w:val="32"/>
          <w:szCs w:val="32"/>
          <w:shd w:val="clear" w:color="auto" w:fill="auto"/>
        </w:rPr>
      </w:pPr>
    </w:p>
    <w:p w14:paraId="37CAF54C">
      <w:pPr>
        <w:pStyle w:val="3"/>
        <w:keepNext w:val="0"/>
        <w:keepLines w:val="0"/>
        <w:pageBreakBefore w:val="0"/>
        <w:widowControl/>
        <w:kinsoku/>
        <w:wordWrap/>
        <w:overflowPunct/>
        <w:topLinePunct w:val="0"/>
        <w:autoSpaceDE/>
        <w:autoSpaceDN/>
        <w:bidi w:val="0"/>
        <w:adjustRightInd w:val="0"/>
        <w:snapToGrid/>
        <w:spacing w:line="560" w:lineRule="exact"/>
        <w:ind w:left="0" w:right="0" w:firstLine="5440" w:firstLineChars="1700"/>
        <w:textAlignment w:val="baseline"/>
        <w:outlineLvl w:val="9"/>
        <w:rPr>
          <w:rFonts w:hint="default" w:ascii="Times New Roman" w:hAnsi="Times New Roman" w:eastAsia="仿宋_GB2312" w:cs="Times New Roman"/>
          <w:spacing w:val="0"/>
          <w:sz w:val="32"/>
          <w:szCs w:val="32"/>
          <w:shd w:val="clear" w:color="auto" w:fill="auto"/>
        </w:rPr>
      </w:pPr>
    </w:p>
    <w:p w14:paraId="5DAC5EE1">
      <w:pPr>
        <w:pStyle w:val="3"/>
        <w:keepNext w:val="0"/>
        <w:keepLines w:val="0"/>
        <w:pageBreakBefore w:val="0"/>
        <w:widowControl/>
        <w:kinsoku/>
        <w:wordWrap/>
        <w:overflowPunct/>
        <w:topLinePunct w:val="0"/>
        <w:autoSpaceDE/>
        <w:autoSpaceDN/>
        <w:bidi w:val="0"/>
        <w:adjustRightInd w:val="0"/>
        <w:snapToGrid/>
        <w:spacing w:line="560" w:lineRule="exact"/>
        <w:ind w:left="0" w:right="0" w:firstLine="5440" w:firstLineChars="1700"/>
        <w:textAlignment w:val="baseline"/>
        <w:outlineLvl w:val="9"/>
        <w:rPr>
          <w:rFonts w:hint="default" w:ascii="Times New Roman" w:hAnsi="Times New Roman" w:eastAsia="仿宋_GB2312" w:cs="Times New Roman"/>
          <w:spacing w:val="0"/>
          <w:sz w:val="32"/>
          <w:szCs w:val="32"/>
          <w:shd w:val="clear" w:color="auto" w:fill="auto"/>
        </w:rPr>
      </w:pPr>
    </w:p>
    <w:p w14:paraId="7A0E7435">
      <w:pPr>
        <w:pStyle w:val="3"/>
        <w:keepNext w:val="0"/>
        <w:keepLines w:val="0"/>
        <w:pageBreakBefore w:val="0"/>
        <w:widowControl/>
        <w:kinsoku/>
        <w:wordWrap/>
        <w:overflowPunct/>
        <w:topLinePunct w:val="0"/>
        <w:autoSpaceDE/>
        <w:autoSpaceDN/>
        <w:bidi w:val="0"/>
        <w:adjustRightInd w:val="0"/>
        <w:snapToGrid/>
        <w:spacing w:line="560" w:lineRule="exact"/>
        <w:ind w:left="0" w:right="0" w:firstLine="5440" w:firstLineChars="1700"/>
        <w:textAlignment w:val="baseline"/>
        <w:outlineLvl w:val="9"/>
        <w:rPr>
          <w:rFonts w:hint="default" w:ascii="Times New Roman" w:hAnsi="Times New Roman" w:eastAsia="仿宋_GB2312" w:cs="Times New Roman"/>
          <w:spacing w:val="0"/>
          <w:sz w:val="32"/>
          <w:szCs w:val="32"/>
          <w:shd w:val="clear" w:color="auto" w:fill="auto"/>
        </w:rPr>
      </w:pPr>
    </w:p>
    <w:sectPr>
      <w:footerReference r:id="rId5" w:type="default"/>
      <w:pgSz w:w="11920" w:h="17310"/>
      <w:pgMar w:top="1471" w:right="1569" w:bottom="400" w:left="15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C8F8D">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A473FA"/>
    <w:rsid w:val="174367E3"/>
    <w:rsid w:val="25C0331D"/>
    <w:rsid w:val="2D2D4A5E"/>
    <w:rsid w:val="2E6249D6"/>
    <w:rsid w:val="45F16347"/>
    <w:rsid w:val="4D162945"/>
    <w:rsid w:val="4E53AB82"/>
    <w:rsid w:val="55C649AF"/>
    <w:rsid w:val="5F33584B"/>
    <w:rsid w:val="65BB33C7"/>
    <w:rsid w:val="70712B6D"/>
    <w:rsid w:val="73C3038C"/>
    <w:rsid w:val="74072D7F"/>
    <w:rsid w:val="9E77DB10"/>
    <w:rsid w:val="EEE31B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ascii="Calibri" w:hAnsi="Calibri" w:eastAsia="仿宋" w:cs="Times New Roman"/>
      <w:szCs w:val="32"/>
    </w:rPr>
  </w:style>
  <w:style w:type="paragraph" w:styleId="3">
    <w:name w:val="Body Text"/>
    <w:basedOn w:val="1"/>
    <w:semiHidden/>
    <w:qFormat/>
    <w:uiPriority w:val="0"/>
    <w:rPr>
      <w:rFonts w:ascii="仿宋" w:hAnsi="仿宋" w:eastAsia="仿宋" w:cs="仿宋"/>
      <w:sz w:val="30"/>
      <w:szCs w:val="30"/>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1680</Words>
  <Characters>1714</Characters>
  <TotalTime>9</TotalTime>
  <ScaleCrop>false</ScaleCrop>
  <LinksUpToDate>false</LinksUpToDate>
  <CharactersWithSpaces>1778</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2025-02-09T03:52:00Z</dcterms:created>
  <dc:creator>Kingsoft-PDF</dc:creator>
  <cp:lastModifiedBy>罗</cp:lastModifiedBy>
  <cp:lastPrinted>2025-03-05T06:51:00Z</cp:lastPrinted>
  <dcterms:modified xsi:type="dcterms:W3CDTF">2025-03-12T08:23:39Z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2025-02-08T19:52:15Z</vt:filetime>
  </property>
  <property fmtid="{D5CDD505-2E9C-101B-9397-08002B2CF9AE}" pid="4" name="UsrData">
    <vt:lpwstr>67a7456cfe1f9a000177a11ewl</vt:lpwstr>
  </property>
  <property fmtid="{D5CDD505-2E9C-101B-9397-08002B2CF9AE}" pid="5" name="KSOProductBuildVer">
    <vt:lpwstr>2052-12.1.0.20305</vt:lpwstr>
  </property>
  <property fmtid="{D5CDD505-2E9C-101B-9397-08002B2CF9AE}" pid="6" name="ICV">
    <vt:lpwstr>2B4F0A406503C4CA1A21A86759CED9E0</vt:lpwstr>
  </property>
  <property fmtid="{D5CDD505-2E9C-101B-9397-08002B2CF9AE}" pid="7" name="KSOTemplateDocerSaveRecord">
    <vt:lpwstr>eyJoZGlkIjoiMzI2ZmM5YjEyZTkyMWQxN2QyYWE0MjU3OTljMzZmMTMiLCJ1c2VySWQiOiI0MTM3OTk1MTgifQ==</vt:lpwstr>
  </property>
</Properties>
</file>