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540" w:lineRule="exact"/>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关于征求《2025年乐清市农作物病虫害专业化统防统治与绿色防控融合推进工作实施方案（征求意见稿）》意见的函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浙江省农作物病虫害防治条例》、《浙江省植保检疫与农药管理总站关于印发2025年浙江省植保检疫与农药管理工作要点的通知》（浙植〔2025〕8号）、《浙江省农业农村厅关于印发“虫口夺粮”保丰收行动实施方案的通知》（浙农专发〔2025〕12号 ）等文件，结合我市实际，制定《2025年乐清市农作物病虫害专业化统防统治与绿色防控融合推进工作实施方案（征求意见稿）》，现公开征求意见。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此次公开征求意见时间为2025年6月18 日-2025年6月26日；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反馈方式：书面、电话或网页留言</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联系人：郑典福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联系方式：0577-61889270</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通讯地址：乐清市城南街道良港西路157号乐清市农业农村局第二办公区</w:t>
      </w:r>
    </w:p>
    <w:p>
      <w:pPr>
        <w:pStyle w:val="2"/>
        <w:rPr>
          <w:rFonts w:hint="eastAsia"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乐清市农业农村局</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right"/>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2025年6月17</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val="0"/>
        <w:spacing w:after="0" w:line="54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202</w:t>
      </w:r>
      <w:r>
        <w:rPr>
          <w:rFonts w:hint="eastAsia" w:ascii="方正小标宋简体" w:hAnsi="宋体" w:eastAsia="方正小标宋简体"/>
          <w:sz w:val="44"/>
          <w:szCs w:val="44"/>
          <w:lang w:val="en-US" w:eastAsia="zh-CN"/>
        </w:rPr>
        <w:t>5</w:t>
      </w:r>
      <w:r>
        <w:rPr>
          <w:rFonts w:hint="eastAsia" w:ascii="方正小标宋简体" w:hAnsi="宋体" w:eastAsia="方正小标宋简体"/>
          <w:sz w:val="44"/>
          <w:szCs w:val="44"/>
        </w:rPr>
        <w:t>年乐清市农作物病虫害专业化统防统治与绿色防控融合推进工作实施方案</w:t>
      </w:r>
    </w:p>
    <w:p>
      <w:pPr>
        <w:keepNext w:val="0"/>
        <w:keepLines w:val="0"/>
        <w:pageBreakBefore w:val="0"/>
        <w:widowControl w:val="0"/>
        <w:kinsoku/>
        <w:wordWrap/>
        <w:overflowPunct/>
        <w:topLinePunct w:val="0"/>
        <w:autoSpaceDE/>
        <w:autoSpaceDN/>
        <w:bidi w:val="0"/>
        <w:adjustRightInd/>
        <w:snapToGrid w:val="0"/>
        <w:spacing w:after="0" w:line="54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宋体" w:cs="仿宋_GB2312"/>
          <w:sz w:val="32"/>
          <w:szCs w:val="32"/>
          <w:lang w:eastAsia="zh-CN"/>
        </w:rPr>
      </w:pPr>
      <w:r>
        <w:rPr>
          <w:rFonts w:hint="eastAsia" w:ascii="仿宋_GB2312" w:hAnsi="仿宋_GB2312" w:eastAsia="仿宋_GB2312" w:cs="仿宋_GB2312"/>
          <w:sz w:val="32"/>
          <w:szCs w:val="32"/>
        </w:rPr>
        <w:t>农作物病虫害统防统治与绿色防控融合，是有效提升病虫害防控组织化程度和科学化水平，实现病虫可持续治理、</w:t>
      </w:r>
      <w:r>
        <w:rPr>
          <w:rFonts w:hint="eastAsia" w:ascii="仿宋_GB2312" w:hAnsi="仿宋_GB2312" w:eastAsia="仿宋_GB2312" w:cs="仿宋_GB2312"/>
          <w:sz w:val="32"/>
          <w:szCs w:val="32"/>
          <w:lang w:eastAsia="zh-CN"/>
        </w:rPr>
        <w:t>科学用药增效</w:t>
      </w:r>
      <w:r>
        <w:rPr>
          <w:rFonts w:hint="eastAsia" w:ascii="仿宋_GB2312" w:hAnsi="仿宋_GB2312" w:eastAsia="仿宋_GB2312" w:cs="仿宋_GB2312"/>
          <w:sz w:val="32"/>
          <w:szCs w:val="32"/>
        </w:rPr>
        <w:t>的主要措施，也是保障农产品质量安全和农业绿色高质量发展的重要内容。根据</w:t>
      </w:r>
      <w:r>
        <w:rPr>
          <w:rFonts w:hint="default" w:ascii="Times New Roman" w:hAnsi="Times New Roman" w:eastAsia="仿宋_GB2312" w:cs="Times New Roman"/>
          <w:kern w:val="0"/>
          <w:sz w:val="32"/>
          <w:szCs w:val="32"/>
        </w:rPr>
        <w:t>《浙江省农作物病虫害防治条例》</w:t>
      </w:r>
      <w:r>
        <w:rPr>
          <w:rFonts w:hint="eastAsia" w:ascii="Times New Roman" w:hAnsi="Times New Roman" w:eastAsia="仿宋_GB2312" w:cs="Times New Roman"/>
          <w:kern w:val="0"/>
          <w:sz w:val="32"/>
          <w:szCs w:val="32"/>
          <w:lang w:eastAsia="zh-CN"/>
        </w:rPr>
        <w:t>、</w:t>
      </w:r>
      <w:r>
        <w:rPr>
          <w:rFonts w:hint="default" w:ascii="仿宋_GB2312" w:hAnsi="仿宋_GB2312" w:eastAsia="仿宋_GB2312" w:cs="仿宋_GB2312"/>
          <w:sz w:val="32"/>
          <w:szCs w:val="32"/>
        </w:rPr>
        <w:t>《浙江省植保检疫与农药管理总站关于印发</w:t>
      </w:r>
      <w:r>
        <w:rPr>
          <w:rFonts w:hint="eastAsia" w:ascii="仿宋_GB2312" w:hAnsi="仿宋_GB2312" w:eastAsia="仿宋_GB2312" w:cs="仿宋_GB2312"/>
          <w:sz w:val="32"/>
          <w:szCs w:val="32"/>
          <w:lang w:val="en-US" w:eastAsia="zh-CN"/>
        </w:rPr>
        <w:t>2025年</w:t>
      </w:r>
      <w:r>
        <w:rPr>
          <w:rFonts w:hint="default" w:ascii="仿宋_GB2312" w:hAnsi="仿宋_GB2312" w:eastAsia="仿宋_GB2312" w:cs="仿宋_GB2312"/>
          <w:sz w:val="32"/>
          <w:szCs w:val="32"/>
        </w:rPr>
        <w:t>浙江省植保检疫与农药管理工作要点的通知</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浙植〔2025〕8号）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《浙江省农业农村厅关于印发“虫口夺粮”保丰收行动实施方案的通知》（浙农专发〔2025〕12号 ）</w:t>
      </w:r>
      <w:r>
        <w:rPr>
          <w:rFonts w:hint="eastAsia" w:ascii="仿宋_GB2312" w:hAnsi="仿宋_GB2312" w:eastAsia="仿宋_GB2312" w:cs="仿宋_GB2312"/>
          <w:sz w:val="32"/>
          <w:szCs w:val="32"/>
          <w:lang w:eastAsia="zh-CN"/>
        </w:rPr>
        <w:t>、《浙江省农业农村厅关于印发浙江省水稻二化螟和稻麦田恶性杂草综合治理三年行动方案的通知》（</w:t>
      </w:r>
      <w:r>
        <w:rPr>
          <w:rFonts w:hint="eastAsia" w:ascii="仿宋_GB2312" w:hAnsi="仿宋_GB2312" w:eastAsia="仿宋_GB2312" w:cs="仿宋_GB2312"/>
          <w:sz w:val="32"/>
          <w:szCs w:val="32"/>
        </w:rPr>
        <w:t>浙农专发〔2025〕</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 xml:space="preserve">号 </w:t>
      </w:r>
      <w:r>
        <w:rPr>
          <w:rFonts w:hint="eastAsia" w:ascii="仿宋_GB2312" w:hAnsi="仿宋_GB2312" w:eastAsia="仿宋_GB2312" w:cs="仿宋_GB2312"/>
          <w:sz w:val="32"/>
          <w:szCs w:val="32"/>
          <w:lang w:eastAsia="zh-CN"/>
        </w:rPr>
        <w:t>）、《温州市农业农村局关于认真做好2025年度温州市植保重点工作任务的通知》（温植土〔2025〕4号）</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《温州市农业农村局关于印发2025年温州市“虫口夺粮”保丰收行动实施方案的通知》（温农发〔2025〕25号）</w:t>
      </w:r>
      <w:r>
        <w:rPr>
          <w:rFonts w:hint="eastAsia" w:ascii="仿宋_GB2312" w:hAnsi="仿宋_GB2312" w:eastAsia="仿宋_GB2312" w:cs="仿宋_GB2312"/>
          <w:sz w:val="32"/>
          <w:szCs w:val="32"/>
        </w:rPr>
        <w:t>等文件</w:t>
      </w:r>
      <w:r>
        <w:rPr>
          <w:rStyle w:val="10"/>
        </w:rPr>
        <w:t>精神与工作要求， 结合我市实际， 特制定如下行动方案</w:t>
      </w:r>
      <w:r>
        <w:rPr>
          <w:rFonts w:ascii="宋体" w:hAnsi="宋体" w:eastAsia="宋体" w:cs="宋体"/>
          <w:sz w:val="24"/>
          <w:szCs w:val="24"/>
        </w:rPr>
        <w:t xml:space="preserve"> </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一、目标任务</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全面推进农作物病虫害专业化统防统治与绿色防控融合发展，深入实施科学用药增效行动，全力实现“虫口夺粮”保丰收目标。力争到2025年底，完成水稻统防统治整建制镇（乡、街道）1个、作物健康小镇（乡、街道）1个，全市实现主要农作物统防统治面积13.1万亩，主要农作物统防统治覆盖率达50%以上，主要农作物绿色防控覆盖率达60%以上，</w:t>
      </w:r>
      <w:r>
        <w:rPr>
          <w:rFonts w:ascii="仿宋_GB2312" w:hAnsi="仿宋_GB2312" w:eastAsia="仿宋_GB2312" w:cs="仿宋_GB2312"/>
          <w:b w:val="0"/>
          <w:i w:val="0"/>
          <w:color w:val="000000"/>
          <w:sz w:val="32"/>
          <w:szCs w:val="32"/>
        </w:rPr>
        <w:t>主要农作物重大病虫害危害损失率控制在5%以内</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二、建设内容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（一）开展主要农作物统防统治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推进我市主要粮食作物（水稻、小麦、油菜、玉米）病虫害专业化统防统治，提升科学防治水平，减少农药使用，确保农业生态安全和农产品质量安全，拟采用“以奖代补”方式，对我市开展水稻、小麦、玉米和油菜等主要粮油作物病虫害统防统治实行作业奖励。</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奖补对象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对种植在</w:t>
      </w:r>
      <w:r>
        <w:rPr>
          <w:rFonts w:hint="eastAsia" w:ascii="仿宋_GB2312" w:hAnsi="仿宋_GB2312" w:eastAsia="仿宋_GB2312" w:cs="仿宋_GB2312"/>
          <w:sz w:val="32"/>
          <w:szCs w:val="32"/>
          <w:lang w:eastAsia="zh-CN"/>
        </w:rPr>
        <w:t>全市范围内</w:t>
      </w:r>
      <w:r>
        <w:rPr>
          <w:rFonts w:hint="eastAsia" w:ascii="仿宋_GB2312" w:hAnsi="仿宋_GB2312" w:eastAsia="仿宋_GB2312" w:cs="仿宋_GB2312"/>
          <w:sz w:val="32"/>
          <w:szCs w:val="32"/>
        </w:rPr>
        <w:t>的水稻</w:t>
      </w:r>
      <w:r>
        <w:rPr>
          <w:rFonts w:hint="eastAsia" w:ascii="仿宋_GB2312" w:hAnsi="仿宋_GB2312" w:eastAsia="仿宋_GB2312" w:cs="仿宋_GB2312"/>
          <w:sz w:val="32"/>
          <w:szCs w:val="32"/>
          <w:lang w:eastAsia="zh-CN"/>
        </w:rPr>
        <w:t>、小麦、玉米和油菜等主要粮油作物</w:t>
      </w:r>
      <w:r>
        <w:rPr>
          <w:rFonts w:hint="eastAsia" w:ascii="仿宋_GB2312" w:hAnsi="仿宋_GB2312" w:eastAsia="仿宋_GB2312" w:cs="仿宋_GB2312"/>
          <w:sz w:val="32"/>
          <w:szCs w:val="32"/>
        </w:rPr>
        <w:t>采用植保无人机开展病虫害</w:t>
      </w:r>
      <w:r>
        <w:rPr>
          <w:rFonts w:hint="eastAsia" w:ascii="仿宋_GB2312" w:hAnsi="仿宋_GB2312" w:eastAsia="仿宋_GB2312" w:cs="仿宋_GB2312"/>
          <w:sz w:val="32"/>
          <w:szCs w:val="32"/>
          <w:lang w:eastAsia="zh-CN"/>
        </w:rPr>
        <w:t>统防统治</w:t>
      </w:r>
      <w:r>
        <w:rPr>
          <w:rFonts w:hint="eastAsia" w:ascii="仿宋_GB2312" w:hAnsi="仿宋_GB2312" w:eastAsia="仿宋_GB2312" w:cs="仿宋_GB2312"/>
          <w:sz w:val="32"/>
          <w:szCs w:val="32"/>
        </w:rPr>
        <w:t>服务作业</w:t>
      </w:r>
      <w:r>
        <w:rPr>
          <w:rFonts w:hint="eastAsia" w:ascii="仿宋_GB2312" w:hAnsi="仿宋_GB2312" w:eastAsia="仿宋_GB2312" w:cs="仿宋_GB2312"/>
          <w:sz w:val="32"/>
          <w:szCs w:val="32"/>
          <w:lang w:eastAsia="zh-CN"/>
        </w:rPr>
        <w:t>，已通过市农业农村局备案认定</w:t>
      </w:r>
      <w:r>
        <w:rPr>
          <w:rFonts w:hint="eastAsia" w:ascii="仿宋_GB2312" w:hAnsi="仿宋_GB2312" w:eastAsia="仿宋_GB2312" w:cs="仿宋_GB2312"/>
          <w:sz w:val="32"/>
          <w:szCs w:val="32"/>
          <w:lang w:val="en-US" w:eastAsia="zh-CN"/>
        </w:rPr>
        <w:t>的社会化服务组织（含专业合作社、植保服务有限公司、家庭农场、农业服务企业等）。</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奖补标准</w:t>
      </w:r>
      <w:r>
        <w:rPr>
          <w:rFonts w:hint="eastAsia" w:ascii="仿宋_GB2312" w:hAnsi="仿宋_GB2312" w:eastAsia="仿宋_GB2312" w:cs="仿宋_GB2312"/>
          <w:sz w:val="32"/>
          <w:szCs w:val="32"/>
          <w:lang w:val="en-US" w:eastAsia="zh-CN"/>
        </w:rPr>
        <w:t>：按照服务组织有效作业面积0.2万～0.5万亩次、0.5万～1万亩次、1万～2万亩次、2万～5万亩次、5万～8万亩次、8万亩次以上分为六档，分别给予1万元、2万元、3万元、4万元、6万元、8万元奖励。</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奖补流程</w:t>
      </w:r>
      <w:r>
        <w:rPr>
          <w:rFonts w:hint="eastAsia" w:ascii="仿宋_GB2312" w:hAnsi="仿宋_GB2312" w:eastAsia="仿宋_GB2312" w:cs="仿宋_GB2312"/>
          <w:sz w:val="32"/>
          <w:szCs w:val="32"/>
          <w:lang w:val="en-US" w:eastAsia="zh-CN"/>
        </w:rPr>
        <w:t>：1.备案申请。作业服务组织如实填写《2025年乐清市水稻等主要粮油作物病虫害飞防作业服务申请表》(附件1)，经所在地街镇同意后报送市农业农村局。同时须提交作业人员操作证、营业执照、银行开户许可证及负责人身份证等复印件。2.作业建档。统防统治服务组织要认真做好作业台账。每次作业前应与农户做好沟通，实地了解作物生长、病虫情况、前期用药情况，确认本次用药种类和药量并告知农户，当日作业服务实施完成后要及时在线报备，确保农户信息和防治数据真实有效。每季作业服务完成后，将水稻、小麦、玉米和油菜等病虫害防治记录表（浙农优品管理后台导出）和病虫害飞防作业服务汇总表（附件2，Excel格式，按乡镇/街道汇总）按时间顺序，装订成册。作业档案材料于10月20日前报送市农业农村局。3.作业审核。乡镇（街道）农业农村部门对服务组织在线报备的作业数据进行审核，并对服务组织上交的作业台账进行核实，同时在病虫害飞防作业服务汇总表上签署审核意见；市农业农村局负责报送材料的审核和服务组织有效作业面积的汇总。4.作业面积公示。全年作业服务完成后，市农业农村局对经核实的有效作业面积在乐清市政府网站进行公示，公示期7个工作日。5.资金发放。市农业农村局、财政局根据公示情况，确认无异议后，联合下发奖补文件，并下拨奖补资金。</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奖补要求</w:t>
      </w:r>
      <w:r>
        <w:rPr>
          <w:rFonts w:hint="eastAsia" w:ascii="仿宋_GB2312" w:hAnsi="仿宋_GB2312" w:eastAsia="仿宋_GB2312" w:cs="仿宋_GB2312"/>
          <w:sz w:val="32"/>
          <w:szCs w:val="32"/>
          <w:lang w:val="en-US" w:eastAsia="zh-CN"/>
        </w:rPr>
        <w:t>：乡镇（街道）种植户与统防统治服务组织签订服务协议，根据农业部门病虫情报统一开展病虫害防治。社会化服务组织按附件要求提供相应的材料和飞防作业轨迹，核对无误并经网上公示无异议后按程序拨付奖补资金。对提供虚假或伪造材料的服务主体，取消其当年享受奖补资金的资格，情节严重的，取消其当年奖补资金并三年内不准申报，涉嫌违纪违法的，移交相关部门处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（二）建设绿色防控示范区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加强绿色防控示范引领，</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3个</w:t>
      </w:r>
      <w:r>
        <w:rPr>
          <w:rFonts w:hint="eastAsia" w:ascii="仿宋_GB2312" w:hAnsi="仿宋_GB2312" w:eastAsia="仿宋_GB2312" w:cs="仿宋_GB2312"/>
          <w:sz w:val="32"/>
          <w:szCs w:val="32"/>
        </w:rPr>
        <w:t>水稻绿色防控示范区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大力推广农业措施、理化诱控、生态控制、科学用药等集成配套的绿色防控技术和产品，通过建设绿色防控示范区，促进科学用药增效，推动病虫综合治理和农业提质增效。</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实施主体</w:t>
      </w:r>
      <w:r>
        <w:rPr>
          <w:rFonts w:hint="eastAsia" w:ascii="仿宋_GB2312" w:hAnsi="仿宋_GB2312" w:eastAsia="仿宋_GB2312" w:cs="仿宋_GB2312"/>
          <w:sz w:val="32"/>
          <w:szCs w:val="32"/>
          <w:lang w:val="en-US" w:eastAsia="zh-CN"/>
        </w:rPr>
        <w:t>：绿色防控示范区实施主体为相关的专业合作社、家庭农场、种粮大户或统防统治服务组织。</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补助标准</w:t>
      </w:r>
      <w:r>
        <w:rPr>
          <w:rFonts w:hint="eastAsia" w:ascii="仿宋_GB2312" w:hAnsi="仿宋_GB2312" w:eastAsia="仿宋_GB2312" w:cs="仿宋_GB2312"/>
          <w:sz w:val="32"/>
          <w:szCs w:val="32"/>
          <w:lang w:val="en-US" w:eastAsia="zh-CN"/>
        </w:rPr>
        <w:t xml:space="preserve">：主要用于水稻绿色防控技术示范推广所需的防控物化产品购置和绿色防控作业费。防控物化产品以二化螟性诱剂为主，以及绿色防控技术措施所需香根草、芝麻、波斯菊等植物。绿色防控作业费主要用于翻耕灌水杀蛹、生态调控、理化诱控、生物防治等绿色防控技术措施实施补助。补助标准为每亩补助50元，经验收合格直接补助给相关实施主体。 </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申报程序</w:t>
      </w:r>
      <w:r>
        <w:rPr>
          <w:rFonts w:hint="eastAsia" w:ascii="仿宋_GB2312" w:hAnsi="仿宋_GB2312" w:eastAsia="仿宋_GB2312" w:cs="仿宋_GB2312"/>
          <w:sz w:val="32"/>
          <w:szCs w:val="32"/>
          <w:lang w:val="en-US" w:eastAsia="zh-CN"/>
        </w:rPr>
        <w:t>：按照条件公开、自愿申报的原则，实施主体向乡镇（街道）申报，乡镇（街道）农业服务中心认真核对各申报主体服务面积及连片情况，确保无虚报、谎报现象后将申报表于7月30日（详见附件3）盖章后送至市农业农村局植物保护科。市农业农村局将组织相关专家对各申报主体进行评审，并择优确定实施主体。联系人：陈云云，联系电话：0577-61889270。</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三、技术措施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sz w:val="32"/>
          <w:szCs w:val="32"/>
        </w:rPr>
      </w:pPr>
      <w:r>
        <w:rPr>
          <w:rFonts w:hint="eastAsia" w:ascii="楷体_GB2312" w:hAnsi="楷体_GB2312" w:eastAsia="楷体_GB2312" w:cs="楷体_GB2312"/>
          <w:sz w:val="32"/>
          <w:szCs w:val="32"/>
        </w:rPr>
        <w:t>（一）监测预警</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加强二化螟越冬基数和发育进度调查，在二化螟发生严重地区增设二化螟的监测点，加强对二化螟重发区域的虫情监测，提高预报准确率，明确防治时间和防治对象田，提高防控成效。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（二）农业防治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1.减少插花种植。单双季稻混栽区</w:t>
      </w:r>
      <w:r>
        <w:rPr>
          <w:rFonts w:hint="eastAsia" w:ascii="仿宋_GB2312" w:hAnsi="仿宋_GB2312" w:eastAsia="仿宋_GB2312" w:cs="仿宋_GB2312"/>
          <w:sz w:val="32"/>
          <w:szCs w:val="32"/>
          <w:lang w:eastAsia="zh-CN"/>
        </w:rPr>
        <w:t>、麦稻轮作区和菜稻轮作等</w:t>
      </w:r>
      <w:r>
        <w:rPr>
          <w:rFonts w:hint="eastAsia" w:ascii="仿宋_GB2312" w:hAnsi="仿宋_GB2312" w:eastAsia="仿宋_GB2312" w:cs="仿宋_GB2312"/>
          <w:sz w:val="32"/>
          <w:szCs w:val="32"/>
        </w:rPr>
        <w:t xml:space="preserve">提倡集中连片种植，尽量避免插花种植，减少二化螟桥梁田。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2.适期播种。单季稻区视当地实际，适当推迟播种期，宜在5月20日以后播种，减少二化螟落卵量。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3.集中育供秧。推广集中育供秧，做好带药下田，减少大田防治压力。</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4.稻桩处理。低茬收割，晚稻收获时尽量降低稻桩高度。有条件的地区组织开展稻桩粉碎</w:t>
      </w:r>
      <w:r>
        <w:rPr>
          <w:rFonts w:hint="eastAsia" w:ascii="仿宋_GB2312" w:hAnsi="仿宋_GB2312" w:eastAsia="仿宋_GB2312" w:cs="仿宋_GB2312"/>
          <w:sz w:val="32"/>
          <w:szCs w:val="32"/>
          <w:lang w:eastAsia="zh-CN"/>
        </w:rPr>
        <w:t>或秸秆回收</w:t>
      </w:r>
      <w:r>
        <w:rPr>
          <w:rFonts w:hint="eastAsia" w:ascii="仿宋_GB2312" w:hAnsi="仿宋_GB2312" w:eastAsia="仿宋_GB2312" w:cs="仿宋_GB2312"/>
          <w:sz w:val="32"/>
          <w:szCs w:val="32"/>
        </w:rPr>
        <w:t>，减少越冬虫量。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5.冬季翻耕。提倡冬季翻耕，提高土壤肥力，抑制来年杂草、病虫害的发生。</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.灌水杀蛹。根据当地测报监测情况，在越冬代二化螟化蛹高峰期(一般4月</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旬)，对冬闲田、绿肥田进行翻耕，将残留稻桩、稻草翻入土中，并灌深水浸没稻桩7～10天（低茬收割或粉碎稻桩的稻田，也可直接灌水淹没稻桩）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杀灭越冬代虫蛹，降低虫口基数。</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（三）生态调控</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1.种植诱虫植物。在稻田机耕路两侧种植诱虫植物香根草，丛间距3-5米，诱集二化螟成虫产卵，减少二化螟在水稻上的着卵量。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2.种植显花植物。</w:t>
      </w:r>
      <w:r>
        <w:rPr>
          <w:rFonts w:hint="eastAsia" w:ascii="仿宋_GB2312" w:hAnsi="仿宋_GB2312" w:eastAsia="仿宋_GB2312" w:cs="仿宋_GB2312"/>
          <w:sz w:val="32"/>
          <w:szCs w:val="32"/>
          <w:lang w:eastAsia="zh-CN"/>
        </w:rPr>
        <w:t>在机耕路两侧、</w:t>
      </w:r>
      <w:r>
        <w:rPr>
          <w:rFonts w:hint="eastAsia" w:ascii="仿宋_GB2312" w:hAnsi="仿宋_GB2312" w:eastAsia="仿宋_GB2312" w:cs="仿宋_GB2312"/>
          <w:sz w:val="32"/>
          <w:szCs w:val="32"/>
        </w:rPr>
        <w:t>田埂撒种草花（如：波斯菊、硫华菊等）或种植芝麻、大豆等显花植物，为天敌提供食料和栖境，提高天敌种群数量。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3.田边留草。在田边保留禾本科为主的杂草，为天敌提供栖息地，更好发挥稻田天敌的自然控制作用。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（四）生物防治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释放赤眼蜂（视二化螟发生情况定）。在稻田二化螟成虫始盛期释放稻螟赤眼蜂或螟黄赤眼蜂，间隔3-5天释放一次，每代视虫情释放2-3次，每亩每次释放1万只，每亩设置5-8个释放点，释放点间隔10-12米。放蜂高度以分蘖期蜂卡高于植株顶端5-20厘米、穗期低于植株顶端5-10厘米为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（五）理化诱控</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性信息素诱杀。从越冬代成虫羽化始期开始，全程应用二化螟性信息素诱捕器诱杀雄性成虫。大面积连片使用，平均每亩1 个性诱捕器，每个性诱捕器间距25米左右，采用外密内疏的布局方式，区域内非稻田同样放置。诱捕器放置高度为诱捕器底部高于地面50-80厘米。选用持效3个月或以上的长效诱芯，并及时更换。</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性信息素迷向。从越冬代成虫羽化前开始，在田间设置高剂量性信息素释放源，制造高浓度性信息素环境，钝化雄蛾对性信息素的嗅觉反应。</w:t>
      </w:r>
      <w:r>
        <w:rPr>
          <w:rFonts w:hint="eastAsia" w:ascii="仿宋_GB2312" w:hAnsi="仿宋_GB2312" w:eastAsia="仿宋_GB2312" w:cs="仿宋_GB2312"/>
          <w:sz w:val="32"/>
          <w:szCs w:val="32"/>
        </w:rPr>
        <w:t>大面积连片使用，</w:t>
      </w:r>
      <w:r>
        <w:rPr>
          <w:rFonts w:hint="eastAsia" w:ascii="仿宋_GB2312" w:hAnsi="仿宋_GB2312" w:eastAsia="仿宋_GB2312" w:cs="仿宋_GB2312"/>
          <w:sz w:val="32"/>
          <w:szCs w:val="32"/>
          <w:lang w:eastAsia="zh-CN"/>
        </w:rPr>
        <w:t>平均</w:t>
      </w:r>
      <w:r>
        <w:rPr>
          <w:rFonts w:hint="eastAsia" w:ascii="仿宋_GB2312" w:hAnsi="仿宋_GB2312" w:eastAsia="仿宋_GB2312" w:cs="仿宋_GB2312"/>
          <w:kern w:val="0"/>
          <w:sz w:val="32"/>
          <w:szCs w:val="32"/>
          <w:lang w:eastAsia="zh-CN"/>
        </w:rPr>
        <w:t>每3-5亩1套主动型的超剂量喷雾释放器，均匀或外密内疏放置。超剂量喷雾释放器用支杆固定，喷射口在水稻范围内的高度。</w:t>
      </w:r>
      <w:r>
        <w:rPr>
          <w:rFonts w:hint="eastAsia" w:ascii="仿宋_GB2312" w:hAnsi="仿宋_GB2312" w:eastAsia="仿宋_GB2312" w:cs="仿宋_GB2312"/>
          <w:sz w:val="32"/>
          <w:szCs w:val="32"/>
        </w:rPr>
        <w:t>选用持效3个月或以上的</w:t>
      </w:r>
      <w:r>
        <w:rPr>
          <w:rFonts w:hint="eastAsia" w:ascii="仿宋_GB2312" w:hAnsi="仿宋_GB2312" w:eastAsia="仿宋_GB2312" w:cs="仿宋_GB2312"/>
          <w:kern w:val="0"/>
          <w:sz w:val="32"/>
          <w:szCs w:val="32"/>
          <w:lang w:eastAsia="zh-CN"/>
        </w:rPr>
        <w:t>超剂量喷雾释放器</w:t>
      </w:r>
      <w:r>
        <w:rPr>
          <w:rFonts w:hint="eastAsia" w:ascii="仿宋_GB2312" w:hAnsi="仿宋_GB2312" w:eastAsia="仿宋_GB2312" w:cs="仿宋_GB2312"/>
          <w:sz w:val="32"/>
          <w:szCs w:val="32"/>
        </w:rPr>
        <w:t>，并及时更换。</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（六）科学用药</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1.重点对象。早稻田和单季稻秧田的一代二化螟、超级稻上集中危害的二代二化螟、单季晚稻和连作晚稻穗期二化螟。</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2.防治适期。防治分蘖期二化螟，于枯鞘丛率达到8-10%或枯鞘株率3%时用药;防治穗期二化螟，于卵孵化高峰期重点防治上代残虫量大、当代卵盛孵期与水稻破口抽穗期相吻合的稻田。</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3.防治药剂。优先选用生物农药和矿物源农药，如乙基多杀菌素、金龟子绿僵菌</w:t>
      </w:r>
      <w:r>
        <w:rPr>
          <w:rFonts w:hint="eastAsia" w:ascii="仿宋_GB2312" w:hAnsi="仿宋_GB2312" w:eastAsia="仿宋_GB2312" w:cs="仿宋_GB2312"/>
          <w:sz w:val="32"/>
          <w:szCs w:val="32"/>
          <w:lang w:eastAsia="zh-CN"/>
        </w:rPr>
        <w:t>、苏云金杆菌和印楝素</w:t>
      </w:r>
      <w:r>
        <w:rPr>
          <w:rFonts w:hint="eastAsia" w:ascii="仿宋_GB2312" w:hAnsi="仿宋_GB2312" w:eastAsia="仿宋_GB2312" w:cs="仿宋_GB2312"/>
          <w:sz w:val="32"/>
          <w:szCs w:val="32"/>
        </w:rPr>
        <w:t>等进行防治，化学农药要选用低风险药剂，如:乙多·甲氧虫、阿维·甲虫肼、甲维·甲虫肼</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。重视轮换用药与交替用药，延缓二化螟抗药性进程。施药时可在药液中加入有机硅、怀农特、激健等助剂，增强药剂粘着、扩散和渗透性能，提高药效，减少农药用量。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(七）机器换人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力推广先进植保机械，实施农作物病虫害统防统治，提高作业效率和防治效果，降低劳动强度和农药用量。积极引导植保无人机等高效植保机械在水稻、小麦、油菜、玉米等作物上病虫草害防控的应用，推进统防统治规范提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四、资金使用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（一）专业化统防统治服务</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安排资金70万元，其中省级资金70万，省级资金来源于《浙江省财政厅 浙江省农业农村厅关于提前下达2025年省农业农村现代化先行资金的通知》(浙财农〔2024〕</w:t>
      </w:r>
      <w:r>
        <w:rPr>
          <w:rFonts w:hint="eastAsia" w:ascii="仿宋_GB2312" w:hAnsi="仿宋_GB2312" w:eastAsia="仿宋_GB2312" w:cs="仿宋_GB2312"/>
          <w:sz w:val="32"/>
          <w:szCs w:val="32"/>
          <w:highlight w:val="none"/>
          <w:lang w:val="en-US" w:eastAsia="zh-CN"/>
        </w:rPr>
        <w:t>82</w:t>
      </w:r>
      <w:r>
        <w:rPr>
          <w:rFonts w:hint="eastAsia" w:ascii="仿宋_GB2312" w:hAnsi="仿宋_GB2312" w:eastAsia="仿宋_GB2312" w:cs="仿宋_GB2312"/>
          <w:sz w:val="32"/>
          <w:szCs w:val="32"/>
          <w:lang w:val="en-US" w:eastAsia="zh-CN"/>
        </w:rPr>
        <w:t>号)文件中的主要农作物病虫害统防统治与绿色防控融合推进项目70</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（二）绿色防控（农药定额）示范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安排资金38.5万元，其中中央农业防灾救灾和水利救灾资金（防灾救灾第三批）38.5万元，中央农业防灾救灾和水利救灾资金（防灾救灾第三批）来源于《浙江省财政厅 浙江省农业农村厅关于下达2025年中央农业防灾减灾和水利救灾资金预算（防灾救灾第三批）的通知》(浙财农（2025）38号 )文件中的水稻重大病虫害监测防控项目70</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保障措施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（一）强化</w:t>
      </w:r>
      <w:r>
        <w:rPr>
          <w:rFonts w:hint="eastAsia" w:ascii="楷体_GB2312" w:hAnsi="楷体_GB2312" w:eastAsia="楷体_GB2312" w:cs="楷体_GB2312"/>
          <w:sz w:val="32"/>
          <w:szCs w:val="32"/>
        </w:rPr>
        <w:t>组织领导。</w:t>
      </w:r>
      <w:r>
        <w:rPr>
          <w:rFonts w:hint="eastAsia" w:ascii="仿宋_GB2312" w:hAnsi="仿宋_GB2312" w:eastAsia="仿宋_GB2312" w:cs="仿宋_GB2312"/>
          <w:sz w:val="32"/>
          <w:szCs w:val="32"/>
        </w:rPr>
        <w:t>要加强组织领导，切实提高政治站位，确保第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轮中央生态环保督察反馈问题整改情况“回头看”取得实效，坚持统防统治和绿色防控有机融合，有效保障粮食生产和农产品质量安全。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（二）加强资金监管。</w:t>
      </w:r>
      <w:r>
        <w:rPr>
          <w:rFonts w:hint="eastAsia" w:ascii="仿宋_GB2312" w:hAnsi="仿宋_GB2312" w:eastAsia="仿宋_GB2312" w:cs="仿宋_GB2312"/>
          <w:sz w:val="32"/>
          <w:szCs w:val="32"/>
        </w:rPr>
        <w:t>为确保融合示范工作顺利推进和资金安全高效运行，市农业农村局、市财政局分工协作，密切配合，市农业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局全面负责协调项目实施和技术指导工作;市财政局负责项目资金使用指导及拨付，以及项目资金绩效考评和督查等工作。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抓好技术服务</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val="en-US" w:eastAsia="zh-CN"/>
        </w:rPr>
        <w:t>市农业农村局要坚持定点调查和面上普查相结合，认真研究、分析病虫发生发展动态，及时发布《农作物病虫情报》，指导农户科学防控病虫害。各镇（街道）要及时将病虫发生信息与防控技术落实到户，确保防控效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（四）注重宣传带动。</w:t>
      </w:r>
      <w:r>
        <w:rPr>
          <w:rFonts w:hint="eastAsia" w:ascii="仿宋_GB2312" w:hAnsi="仿宋_GB2312" w:eastAsia="仿宋_GB2312" w:cs="仿宋_GB2312"/>
          <w:sz w:val="32"/>
          <w:szCs w:val="32"/>
          <w:lang w:val="en-US" w:eastAsia="zh-CN"/>
        </w:rPr>
        <w:t>通过举办专题培训、组织现场观摩、示范展示等多种形式，宣传普及农作物病虫害统防统治与绿色防控融合技术，扩大示范区工作的影响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充分利用电视、广播、报纸、和网络等媒介大力宣传开展统防统治与绿色融合示范区的意义，营造良好社会舆论氛围。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（五）严格督查指导。</w:t>
      </w:r>
      <w:r>
        <w:rPr>
          <w:rFonts w:hint="eastAsia" w:ascii="仿宋_GB2312" w:hAnsi="仿宋_GB2312" w:eastAsia="仿宋_GB2312" w:cs="仿宋_GB2312"/>
          <w:sz w:val="32"/>
          <w:szCs w:val="32"/>
          <w:lang w:val="en-US" w:eastAsia="zh-CN"/>
        </w:rPr>
        <w:t>各镇（街道）要高度重视，提高站位，严格按照分解任务压实属地责任，加大政策宣传，充分调动农民的积极性，加强初审，严格把关，认真核实资料、杜绝虚报行为，确保补助政策落到实处，发挥资金绩效。</w:t>
      </w:r>
    </w:p>
    <w:p>
      <w:pPr>
        <w:snapToGrid w:val="0"/>
        <w:jc w:val="left"/>
        <w:rPr>
          <w:rFonts w:hint="eastAsia" w:ascii="黑体" w:hAnsi="黑体" w:eastAsia="黑体" w:cs="黑体"/>
          <w:sz w:val="32"/>
          <w:szCs w:val="32"/>
        </w:rPr>
      </w:pPr>
    </w:p>
    <w:p>
      <w:pPr>
        <w:rPr>
          <w:rFonts w:hint="default" w:hAnsi="仿宋_GB2312" w:cs="仿宋_GB2312"/>
          <w:b/>
          <w:bCs/>
          <w:color w:val="FF0000"/>
          <w:kern w:val="0"/>
          <w:sz w:val="30"/>
          <w:szCs w:val="30"/>
          <w:lang w:val="en-US"/>
        </w:rPr>
      </w:pPr>
      <w:r>
        <w:rPr>
          <w:rFonts w:hint="eastAsia" w:ascii="黑体" w:hAnsi="黑体" w:eastAsia="黑体" w:cs="黑体"/>
          <w:sz w:val="32"/>
          <w:szCs w:val="32"/>
        </w:rPr>
        <w:br w:type="page"/>
      </w:r>
      <w:r>
        <w:rPr>
          <w:rFonts w:hint="eastAsia" w:ascii="黑体" w:hAnsi="黑体" w:eastAsia="黑体" w:cs="黑体"/>
          <w:b w:val="0"/>
          <w:bCs w:val="0"/>
          <w:kern w:val="0"/>
          <w:sz w:val="32"/>
          <w:szCs w:val="32"/>
        </w:rPr>
        <w:t>附</w:t>
      </w:r>
      <w:r>
        <w:rPr>
          <w:rFonts w:hint="eastAsia" w:ascii="黑体" w:hAnsi="黑体" w:eastAsia="黑体" w:cs="黑体"/>
          <w:b w:val="0"/>
          <w:bCs w:val="0"/>
          <w:kern w:val="0"/>
          <w:sz w:val="32"/>
          <w:szCs w:val="32"/>
          <w:lang w:eastAsia="zh-CN"/>
        </w:rPr>
        <w:t>件</w:t>
      </w:r>
      <w:r>
        <w:rPr>
          <w:rFonts w:hint="eastAsia" w:ascii="黑体" w:hAnsi="黑体" w:eastAsia="黑体" w:cs="黑体"/>
          <w:b w:val="0"/>
          <w:bCs w:val="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5</w:t>
      </w:r>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lang w:eastAsia="zh-CN"/>
        </w:rPr>
        <w:t>乐清市</w:t>
      </w:r>
      <w:r>
        <w:rPr>
          <w:rFonts w:hint="eastAsia" w:ascii="方正小标宋简体" w:hAnsi="方正小标宋简体" w:eastAsia="方正小标宋简体" w:cs="方正小标宋简体"/>
          <w:b w:val="0"/>
          <w:bCs w:val="0"/>
          <w:color w:val="000000"/>
          <w:kern w:val="0"/>
          <w:sz w:val="44"/>
          <w:szCs w:val="44"/>
        </w:rPr>
        <w:t>水稻</w:t>
      </w:r>
      <w:r>
        <w:rPr>
          <w:rFonts w:hint="eastAsia" w:ascii="方正小标宋简体" w:hAnsi="方正小标宋简体" w:eastAsia="方正小标宋简体" w:cs="方正小标宋简体"/>
          <w:b w:val="0"/>
          <w:bCs w:val="0"/>
          <w:color w:val="000000"/>
          <w:kern w:val="0"/>
          <w:sz w:val="44"/>
          <w:szCs w:val="44"/>
          <w:lang w:eastAsia="zh-CN"/>
        </w:rPr>
        <w:t>等主要粮油作物</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000000"/>
          <w:kern w:val="0"/>
          <w:sz w:val="36"/>
          <w:szCs w:val="36"/>
          <w:lang w:eastAsia="zh-CN"/>
        </w:rPr>
      </w:pPr>
      <w:r>
        <w:rPr>
          <w:rFonts w:hint="eastAsia" w:ascii="方正小标宋简体" w:hAnsi="方正小标宋简体" w:eastAsia="方正小标宋简体" w:cs="方正小标宋简体"/>
          <w:b w:val="0"/>
          <w:bCs w:val="0"/>
          <w:color w:val="000000"/>
          <w:kern w:val="0"/>
          <w:sz w:val="44"/>
          <w:szCs w:val="44"/>
        </w:rPr>
        <w:t>病虫害</w:t>
      </w:r>
      <w:r>
        <w:rPr>
          <w:rFonts w:hint="eastAsia" w:ascii="方正小标宋简体" w:hAnsi="方正小标宋简体" w:eastAsia="方正小标宋简体" w:cs="方正小标宋简体"/>
          <w:b w:val="0"/>
          <w:bCs w:val="0"/>
          <w:color w:val="000000"/>
          <w:kern w:val="0"/>
          <w:sz w:val="44"/>
          <w:szCs w:val="44"/>
          <w:lang w:eastAsia="zh-CN"/>
        </w:rPr>
        <w:t>飞防</w:t>
      </w:r>
      <w:r>
        <w:rPr>
          <w:rFonts w:hint="eastAsia" w:ascii="方正小标宋简体" w:hAnsi="方正小标宋简体" w:eastAsia="方正小标宋简体" w:cs="方正小标宋简体"/>
          <w:b w:val="0"/>
          <w:bCs w:val="0"/>
          <w:color w:val="000000"/>
          <w:kern w:val="0"/>
          <w:sz w:val="44"/>
          <w:szCs w:val="44"/>
        </w:rPr>
        <w:t>作业服务申请表</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315"/>
        <w:gridCol w:w="386"/>
        <w:gridCol w:w="1232"/>
        <w:gridCol w:w="469"/>
        <w:gridCol w:w="926"/>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4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服务组织名称（盖章）</w:t>
            </w:r>
          </w:p>
        </w:tc>
        <w:tc>
          <w:tcPr>
            <w:tcW w:w="57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详细地址</w:t>
            </w:r>
          </w:p>
        </w:tc>
        <w:tc>
          <w:tcPr>
            <w:tcW w:w="708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负责人</w:t>
            </w:r>
          </w:p>
        </w:tc>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kern w:val="0"/>
                <w:sz w:val="28"/>
                <w:szCs w:val="28"/>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联系电话</w:t>
            </w:r>
          </w:p>
        </w:tc>
        <w:tc>
          <w:tcPr>
            <w:tcW w:w="2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开户银行</w:t>
            </w:r>
          </w:p>
        </w:tc>
        <w:tc>
          <w:tcPr>
            <w:tcW w:w="708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账   号</w:t>
            </w:r>
          </w:p>
        </w:tc>
        <w:tc>
          <w:tcPr>
            <w:tcW w:w="708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作业范围</w:t>
            </w:r>
          </w:p>
        </w:tc>
        <w:tc>
          <w:tcPr>
            <w:tcW w:w="708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作业人数</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人</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植保无人机</w:t>
            </w:r>
          </w:p>
        </w:tc>
        <w:tc>
          <w:tcPr>
            <w:tcW w:w="3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hAnsi="仿宋" w:eastAsia="仿宋" w:cs="仿宋"/>
                <w:color w:val="000000"/>
                <w:kern w:val="0"/>
                <w:sz w:val="28"/>
                <w:szCs w:val="28"/>
                <w:lang w:eastAsia="zh-CN"/>
              </w:rPr>
            </w:pPr>
            <w:r>
              <w:rPr>
                <w:rFonts w:hint="eastAsia" w:ascii="仿宋" w:hAnsi="仿宋" w:eastAsia="仿宋" w:cs="仿宋"/>
                <w:color w:val="000000"/>
                <w:kern w:val="0"/>
                <w:sz w:val="28"/>
                <w:szCs w:val="28"/>
              </w:rPr>
              <w:t>无人机型号</w:t>
            </w:r>
            <w:r>
              <w:rPr>
                <w:rFonts w:hint="eastAsia" w:ascii="仿宋" w:hAnsi="仿宋" w:eastAsia="仿宋" w:cs="仿宋"/>
                <w:color w:val="000000"/>
                <w:kern w:val="0"/>
                <w:sz w:val="28"/>
                <w:szCs w:val="28"/>
                <w:lang w:eastAsia="zh-CN"/>
              </w:rPr>
              <w:t>及序列号</w:t>
            </w:r>
          </w:p>
        </w:tc>
        <w:tc>
          <w:tcPr>
            <w:tcW w:w="708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default" w:hAnsi="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0"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所在地乡镇</w:t>
            </w:r>
            <w:r>
              <w:rPr>
                <w:rFonts w:hint="eastAsia" w:ascii="仿宋" w:hAnsi="仿宋" w:eastAsia="仿宋" w:cs="仿宋"/>
                <w:color w:val="000000"/>
                <w:kern w:val="0"/>
                <w:sz w:val="28"/>
                <w:szCs w:val="28"/>
                <w:lang w:eastAsia="zh-CN"/>
              </w:rPr>
              <w:t>（街道）</w:t>
            </w:r>
            <w:r>
              <w:rPr>
                <w:rFonts w:hint="eastAsia" w:ascii="仿宋" w:hAnsi="仿宋" w:eastAsia="仿宋" w:cs="仿宋"/>
                <w:color w:val="000000"/>
                <w:kern w:val="0"/>
                <w:sz w:val="28"/>
                <w:szCs w:val="28"/>
              </w:rPr>
              <w:t>农业部门意见：</w:t>
            </w:r>
          </w:p>
          <w:p>
            <w:pPr>
              <w:pStyle w:val="9"/>
              <w:keepNext w:val="0"/>
              <w:keepLines w:val="0"/>
              <w:suppressLineNumbers w:val="0"/>
              <w:spacing w:before="0" w:beforeAutospacing="0" w:after="0" w:afterAutospacing="0"/>
              <w:ind w:left="0" w:leftChars="0" w:right="0" w:firstLine="0" w:firstLineChars="0"/>
              <w:rPr>
                <w:rFonts w:hint="eastAsia"/>
              </w:rPr>
            </w:pPr>
          </w:p>
          <w:p>
            <w:pPr>
              <w:pStyle w:val="9"/>
              <w:keepNext w:val="0"/>
              <w:keepLines w:val="0"/>
              <w:suppressLineNumbers w:val="0"/>
              <w:spacing w:before="0" w:beforeAutospacing="0" w:after="0" w:afterAutospacing="0"/>
              <w:ind w:left="0" w:leftChars="0" w:right="0" w:firstLine="0" w:firstLineChars="0"/>
              <w:rPr>
                <w:rFonts w:hint="eastAsia" w:ascii="仿宋" w:hAnsi="仿宋" w:eastAsia="仿宋" w:cs="仿宋"/>
                <w:color w:val="000000"/>
                <w:kern w:val="0"/>
                <w:sz w:val="28"/>
                <w:szCs w:val="28"/>
              </w:rPr>
            </w:pPr>
          </w:p>
          <w:p>
            <w:pPr>
              <w:keepNext w:val="0"/>
              <w:keepLines w:val="0"/>
              <w:suppressLineNumbers w:val="0"/>
              <w:spacing w:before="0" w:beforeAutospacing="0" w:after="0" w:afterAutospacing="0" w:line="360" w:lineRule="auto"/>
              <w:ind w:left="0" w:right="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(盖章)：</w:t>
            </w:r>
          </w:p>
          <w:p>
            <w:pPr>
              <w:keepNext w:val="0"/>
              <w:keepLines w:val="0"/>
              <w:suppressLineNumbers w:val="0"/>
              <w:spacing w:before="0" w:beforeAutospacing="0" w:after="0" w:afterAutospacing="0" w:line="360" w:lineRule="auto"/>
              <w:ind w:left="0" w:right="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(签字)：</w:t>
            </w:r>
          </w:p>
          <w:p>
            <w:pPr>
              <w:keepNext w:val="0"/>
              <w:keepLines w:val="0"/>
              <w:suppressLineNumbers w:val="0"/>
              <w:spacing w:before="0" w:beforeAutospacing="0" w:after="0" w:afterAutospacing="0" w:line="360" w:lineRule="auto"/>
              <w:ind w:left="0" w:right="0"/>
              <w:rPr>
                <w:rFonts w:hint="default" w:hAnsi="仿宋" w:cs="仿宋"/>
                <w:color w:val="000000"/>
                <w:kern w:val="0"/>
                <w:sz w:val="28"/>
                <w:szCs w:val="28"/>
              </w:rPr>
            </w:pPr>
            <w:r>
              <w:rPr>
                <w:rFonts w:hint="eastAsia" w:ascii="仿宋" w:hAnsi="仿宋" w:eastAsia="仿宋" w:cs="仿宋"/>
                <w:color w:val="000000"/>
                <w:kern w:val="0"/>
                <w:sz w:val="28"/>
                <w:szCs w:val="28"/>
              </w:rPr>
              <w:t xml:space="preserve">                                 年     月     日</w:t>
            </w:r>
          </w:p>
        </w:tc>
      </w:tr>
    </w:tbl>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hAnsi="仿宋_GB2312" w:cs="仿宋_GB2312"/>
          <w:b/>
          <w:color w:val="FF0000"/>
          <w:kern w:val="0"/>
          <w:sz w:val="30"/>
          <w:szCs w:val="30"/>
          <w:lang w:val="en-US"/>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5</w:t>
      </w:r>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u w:val="single"/>
          <w:lang w:val="en-US" w:eastAsia="zh-CN"/>
        </w:rPr>
        <w:t xml:space="preserve">              </w:t>
      </w:r>
      <w:r>
        <w:rPr>
          <w:rFonts w:hint="eastAsia" w:ascii="方正小标宋简体" w:hAnsi="方正小标宋简体" w:eastAsia="方正小标宋简体" w:cs="方正小标宋简体"/>
          <w:b w:val="0"/>
          <w:bCs w:val="0"/>
          <w:color w:val="000000"/>
          <w:kern w:val="0"/>
          <w:sz w:val="44"/>
          <w:szCs w:val="44"/>
          <w:u w:val="none"/>
          <w:lang w:eastAsia="zh-CN"/>
        </w:rPr>
        <w:t>乡镇</w:t>
      </w:r>
      <w:r>
        <w:rPr>
          <w:rFonts w:hint="eastAsia" w:ascii="方正小标宋简体" w:hAnsi="方正小标宋简体" w:eastAsia="方正小标宋简体" w:cs="方正小标宋简体"/>
          <w:b w:val="0"/>
          <w:bCs w:val="0"/>
          <w:color w:val="000000"/>
          <w:kern w:val="0"/>
          <w:sz w:val="44"/>
          <w:szCs w:val="44"/>
        </w:rPr>
        <w:t>（</w:t>
      </w:r>
      <w:r>
        <w:rPr>
          <w:rFonts w:hint="eastAsia" w:ascii="方正小标宋简体" w:hAnsi="方正小标宋简体" w:eastAsia="方正小标宋简体" w:cs="方正小标宋简体"/>
          <w:b w:val="0"/>
          <w:bCs w:val="0"/>
          <w:color w:val="000000"/>
          <w:kern w:val="0"/>
          <w:sz w:val="44"/>
          <w:szCs w:val="44"/>
          <w:lang w:eastAsia="zh-CN"/>
        </w:rPr>
        <w:t>街道</w:t>
      </w:r>
      <w:r>
        <w:rPr>
          <w:rFonts w:hint="eastAsia" w:ascii="方正小标宋简体" w:hAnsi="方正小标宋简体" w:eastAsia="方正小标宋简体" w:cs="方正小标宋简体"/>
          <w:b w:val="0"/>
          <w:bCs w:val="0"/>
          <w:color w:val="000000"/>
          <w:kern w:val="0"/>
          <w:sz w:val="44"/>
          <w:szCs w:val="44"/>
        </w:rPr>
        <w:t>）水稻</w:t>
      </w:r>
      <w:r>
        <w:rPr>
          <w:rFonts w:hint="eastAsia" w:ascii="方正小标宋简体" w:hAnsi="方正小标宋简体" w:eastAsia="方正小标宋简体" w:cs="方正小标宋简体"/>
          <w:b w:val="0"/>
          <w:bCs w:val="0"/>
          <w:color w:val="000000"/>
          <w:kern w:val="0"/>
          <w:sz w:val="44"/>
          <w:szCs w:val="44"/>
          <w:lang w:eastAsia="zh-CN"/>
        </w:rPr>
        <w:t>等主要粮油作物</w:t>
      </w:r>
      <w:r>
        <w:rPr>
          <w:rFonts w:hint="eastAsia" w:ascii="方正小标宋简体" w:hAnsi="方正小标宋简体" w:eastAsia="方正小标宋简体" w:cs="方正小标宋简体"/>
          <w:b w:val="0"/>
          <w:bCs w:val="0"/>
          <w:color w:val="000000"/>
          <w:kern w:val="0"/>
          <w:sz w:val="44"/>
          <w:szCs w:val="44"/>
        </w:rPr>
        <w:t>病虫害</w:t>
      </w:r>
      <w:r>
        <w:rPr>
          <w:rFonts w:hint="eastAsia" w:ascii="方正小标宋简体" w:hAnsi="方正小标宋简体" w:eastAsia="方正小标宋简体" w:cs="方正小标宋简体"/>
          <w:b w:val="0"/>
          <w:bCs w:val="0"/>
          <w:color w:val="000000"/>
          <w:kern w:val="0"/>
          <w:sz w:val="44"/>
          <w:szCs w:val="44"/>
          <w:lang w:eastAsia="zh-CN"/>
        </w:rPr>
        <w:t>飞防</w:t>
      </w:r>
      <w:r>
        <w:rPr>
          <w:rFonts w:hint="eastAsia" w:ascii="方正小标宋简体" w:hAnsi="方正小标宋简体" w:eastAsia="方正小标宋简体" w:cs="方正小标宋简体"/>
          <w:b w:val="0"/>
          <w:bCs w:val="0"/>
          <w:color w:val="000000"/>
          <w:kern w:val="0"/>
          <w:sz w:val="44"/>
          <w:szCs w:val="44"/>
        </w:rPr>
        <w:t>作业服务汇总表</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服务组织名称（盖章）：                           </w:t>
      </w:r>
    </w:p>
    <w:tbl>
      <w:tblPr>
        <w:tblStyle w:val="7"/>
        <w:tblW w:w="8588" w:type="dxa"/>
        <w:jc w:val="center"/>
        <w:tblLayout w:type="fixed"/>
        <w:tblCellMar>
          <w:top w:w="0" w:type="dxa"/>
          <w:left w:w="0" w:type="dxa"/>
          <w:bottom w:w="0" w:type="dxa"/>
          <w:right w:w="0" w:type="dxa"/>
        </w:tblCellMar>
      </w:tblPr>
      <w:tblGrid>
        <w:gridCol w:w="714"/>
        <w:gridCol w:w="1620"/>
        <w:gridCol w:w="1611"/>
        <w:gridCol w:w="3040"/>
        <w:gridCol w:w="1603"/>
      </w:tblGrid>
      <w:tr>
        <w:tblPrEx>
          <w:tblCellMar>
            <w:top w:w="0" w:type="dxa"/>
            <w:left w:w="0" w:type="dxa"/>
            <w:bottom w:w="0" w:type="dxa"/>
            <w:right w:w="0" w:type="dxa"/>
          </w:tblCellMar>
        </w:tblPrEx>
        <w:trPr>
          <w:trHeight w:val="871" w:hRule="atLeast"/>
          <w:jc w:val="center"/>
        </w:trPr>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rPr>
              <w:t>服务对象</w:t>
            </w:r>
          </w:p>
          <w:p>
            <w:pPr>
              <w:widowControl/>
              <w:spacing w:after="0" w:line="240" w:lineRule="auto"/>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（农户姓名）</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黑体" w:hAnsi="黑体" w:eastAsia="黑体" w:cs="黑体"/>
                <w:color w:val="000000"/>
                <w:sz w:val="24"/>
                <w:szCs w:val="24"/>
              </w:rPr>
            </w:pPr>
            <w:r>
              <w:rPr>
                <w:rFonts w:hint="eastAsia" w:ascii="黑体" w:hAnsi="黑体" w:eastAsia="黑体" w:cs="黑体"/>
                <w:kern w:val="0"/>
                <w:sz w:val="24"/>
                <w:szCs w:val="24"/>
              </w:rPr>
              <w:t>作物名称</w:t>
            </w:r>
          </w:p>
        </w:tc>
        <w:tc>
          <w:tcPr>
            <w:tcW w:w="3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360" w:lineRule="exact"/>
              <w:jc w:val="center"/>
              <w:textAlignment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防治</w:t>
            </w:r>
            <w:r>
              <w:rPr>
                <w:rFonts w:hint="eastAsia" w:ascii="黑体" w:hAnsi="黑体" w:eastAsia="黑体" w:cs="黑体"/>
                <w:color w:val="000000"/>
                <w:kern w:val="0"/>
                <w:sz w:val="24"/>
                <w:szCs w:val="24"/>
              </w:rPr>
              <w:t>时间</w:t>
            </w:r>
          </w:p>
          <w:p>
            <w:pPr>
              <w:widowControl/>
              <w:spacing w:after="0" w:line="36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w:t>
            </w:r>
            <w:r>
              <w:rPr>
                <w:rFonts w:hint="eastAsia" w:ascii="黑体" w:hAnsi="黑体" w:eastAsia="黑体" w:cs="黑体"/>
                <w:color w:val="000000"/>
                <w:kern w:val="0"/>
                <w:sz w:val="24"/>
                <w:szCs w:val="24"/>
                <w:lang w:val="en-US" w:eastAsia="zh-CN"/>
              </w:rPr>
              <w:t xml:space="preserve">  </w:t>
            </w:r>
            <w:r>
              <w:rPr>
                <w:rFonts w:hint="eastAsia" w:ascii="黑体" w:hAnsi="黑体" w:eastAsia="黑体" w:cs="黑体"/>
                <w:color w:val="000000"/>
                <w:kern w:val="0"/>
                <w:sz w:val="24"/>
                <w:szCs w:val="24"/>
              </w:rPr>
              <w:t>月</w:t>
            </w:r>
            <w:r>
              <w:rPr>
                <w:rFonts w:hint="eastAsia" w:ascii="黑体" w:hAnsi="黑体" w:eastAsia="黑体" w:cs="黑体"/>
                <w:color w:val="000000"/>
                <w:kern w:val="0"/>
                <w:sz w:val="24"/>
                <w:szCs w:val="24"/>
                <w:lang w:val="en-US" w:eastAsia="zh-CN"/>
              </w:rPr>
              <w:t xml:space="preserve">  </w:t>
            </w:r>
            <w:r>
              <w:rPr>
                <w:rFonts w:hint="eastAsia" w:ascii="黑体" w:hAnsi="黑体" w:eastAsia="黑体" w:cs="黑体"/>
                <w:color w:val="000000"/>
                <w:kern w:val="0"/>
                <w:sz w:val="24"/>
                <w:szCs w:val="24"/>
              </w:rPr>
              <w:t>日</w:t>
            </w:r>
            <w:r>
              <w:rPr>
                <w:rFonts w:hint="eastAsia" w:ascii="黑体" w:hAnsi="黑体" w:eastAsia="黑体" w:cs="黑体"/>
                <w:color w:val="000000"/>
                <w:kern w:val="0"/>
                <w:sz w:val="24"/>
                <w:szCs w:val="24"/>
                <w:lang w:val="en-US" w:eastAsia="zh-CN"/>
              </w:rPr>
              <w:t xml:space="preserve">  -  月  日）</w:t>
            </w:r>
          </w:p>
        </w:tc>
        <w:tc>
          <w:tcPr>
            <w:tcW w:w="1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作业面积</w:t>
            </w:r>
          </w:p>
          <w:p>
            <w:pPr>
              <w:widowControl/>
              <w:spacing w:after="0" w:line="240" w:lineRule="auto"/>
              <w:jc w:val="center"/>
              <w:textAlignment w:val="center"/>
              <w:rPr>
                <w:rFonts w:hint="eastAsia" w:ascii="黑体" w:hAnsi="黑体" w:eastAsia="黑体" w:cs="黑体"/>
                <w:color w:val="000000"/>
                <w:sz w:val="24"/>
                <w:szCs w:val="24"/>
              </w:rPr>
            </w:pPr>
            <w:r>
              <w:rPr>
                <w:rFonts w:hint="eastAsia" w:ascii="黑体" w:hAnsi="黑体" w:eastAsia="黑体" w:cs="黑体"/>
                <w:kern w:val="0"/>
                <w:sz w:val="24"/>
                <w:szCs w:val="24"/>
                <w:lang w:eastAsia="zh-CN"/>
              </w:rPr>
              <w:t>（亩次）</w:t>
            </w:r>
          </w:p>
        </w:tc>
      </w:tr>
      <w:tr>
        <w:tblPrEx>
          <w:tblCellMar>
            <w:top w:w="0" w:type="dxa"/>
            <w:left w:w="0" w:type="dxa"/>
            <w:bottom w:w="0" w:type="dxa"/>
            <w:right w:w="0" w:type="dxa"/>
          </w:tblCellMar>
        </w:tblPrEx>
        <w:trPr>
          <w:trHeight w:val="567" w:hRule="exact"/>
          <w:jc w:val="center"/>
        </w:trPr>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r>
      <w:tr>
        <w:tblPrEx>
          <w:tblCellMar>
            <w:top w:w="0" w:type="dxa"/>
            <w:left w:w="0" w:type="dxa"/>
            <w:bottom w:w="0" w:type="dxa"/>
            <w:right w:w="0" w:type="dxa"/>
          </w:tblCellMar>
        </w:tblPrEx>
        <w:trPr>
          <w:trHeight w:val="567" w:hRule="exact"/>
          <w:jc w:val="center"/>
        </w:trPr>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r>
      <w:tr>
        <w:tblPrEx>
          <w:tblCellMar>
            <w:top w:w="0" w:type="dxa"/>
            <w:left w:w="0" w:type="dxa"/>
            <w:bottom w:w="0" w:type="dxa"/>
            <w:right w:w="0" w:type="dxa"/>
          </w:tblCellMar>
        </w:tblPrEx>
        <w:trPr>
          <w:trHeight w:val="567" w:hRule="exact"/>
          <w:jc w:val="center"/>
        </w:trPr>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r>
      <w:tr>
        <w:tblPrEx>
          <w:tblCellMar>
            <w:top w:w="0" w:type="dxa"/>
            <w:left w:w="0" w:type="dxa"/>
            <w:bottom w:w="0" w:type="dxa"/>
            <w:right w:w="0" w:type="dxa"/>
          </w:tblCellMar>
        </w:tblPrEx>
        <w:trPr>
          <w:trHeight w:val="567" w:hRule="exact"/>
          <w:jc w:val="center"/>
        </w:trPr>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r>
      <w:tr>
        <w:tblPrEx>
          <w:tblCellMar>
            <w:top w:w="0" w:type="dxa"/>
            <w:left w:w="0" w:type="dxa"/>
            <w:bottom w:w="0" w:type="dxa"/>
            <w:right w:w="0" w:type="dxa"/>
          </w:tblCellMar>
        </w:tblPrEx>
        <w:trPr>
          <w:trHeight w:val="567" w:hRule="exact"/>
          <w:jc w:val="center"/>
        </w:trPr>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r>
      <w:tr>
        <w:tblPrEx>
          <w:tblCellMar>
            <w:top w:w="0" w:type="dxa"/>
            <w:left w:w="0" w:type="dxa"/>
            <w:bottom w:w="0" w:type="dxa"/>
            <w:right w:w="0" w:type="dxa"/>
          </w:tblCellMar>
        </w:tblPrEx>
        <w:trPr>
          <w:trHeight w:val="567" w:hRule="exact"/>
          <w:jc w:val="center"/>
        </w:trPr>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r>
      <w:tr>
        <w:tblPrEx>
          <w:tblCellMar>
            <w:top w:w="0" w:type="dxa"/>
            <w:left w:w="0" w:type="dxa"/>
            <w:bottom w:w="0" w:type="dxa"/>
            <w:right w:w="0" w:type="dxa"/>
          </w:tblCellMar>
        </w:tblPrEx>
        <w:trPr>
          <w:trHeight w:val="567" w:hRule="exact"/>
          <w:jc w:val="center"/>
        </w:trPr>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r>
      <w:tr>
        <w:tblPrEx>
          <w:tblCellMar>
            <w:top w:w="0" w:type="dxa"/>
            <w:left w:w="0" w:type="dxa"/>
            <w:bottom w:w="0" w:type="dxa"/>
            <w:right w:w="0" w:type="dxa"/>
          </w:tblCellMar>
        </w:tblPrEx>
        <w:trPr>
          <w:trHeight w:val="567" w:hRule="exact"/>
          <w:jc w:val="center"/>
        </w:trPr>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r>
      <w:tr>
        <w:tblPrEx>
          <w:tblCellMar>
            <w:top w:w="0" w:type="dxa"/>
            <w:left w:w="0" w:type="dxa"/>
            <w:bottom w:w="0" w:type="dxa"/>
            <w:right w:w="0" w:type="dxa"/>
          </w:tblCellMar>
        </w:tblPrEx>
        <w:trPr>
          <w:trHeight w:val="567" w:hRule="exact"/>
          <w:jc w:val="center"/>
        </w:trPr>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r>
      <w:tr>
        <w:tblPrEx>
          <w:tblCellMar>
            <w:top w:w="0" w:type="dxa"/>
            <w:left w:w="0" w:type="dxa"/>
            <w:bottom w:w="0" w:type="dxa"/>
            <w:right w:w="0" w:type="dxa"/>
          </w:tblCellMar>
        </w:tblPrEx>
        <w:trPr>
          <w:trHeight w:val="562" w:hRule="exact"/>
          <w:jc w:val="center"/>
        </w:trPr>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r>
      <w:tr>
        <w:tblPrEx>
          <w:tblCellMar>
            <w:top w:w="0" w:type="dxa"/>
            <w:left w:w="0" w:type="dxa"/>
            <w:bottom w:w="0" w:type="dxa"/>
            <w:right w:w="0" w:type="dxa"/>
          </w:tblCellMar>
        </w:tblPrEx>
        <w:trPr>
          <w:trHeight w:val="567" w:hRule="exact"/>
          <w:jc w:val="center"/>
        </w:trPr>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r>
      <w:tr>
        <w:tblPrEx>
          <w:tblCellMar>
            <w:top w:w="0" w:type="dxa"/>
            <w:left w:w="0" w:type="dxa"/>
            <w:bottom w:w="0" w:type="dxa"/>
            <w:right w:w="0" w:type="dxa"/>
          </w:tblCellMar>
        </w:tblPrEx>
        <w:trPr>
          <w:trHeight w:val="567" w:hRule="exact"/>
          <w:jc w:val="center"/>
        </w:trPr>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hAnsi="仿宋" w:cs="仿宋"/>
                <w:color w:val="000000"/>
                <w:sz w:val="28"/>
                <w:szCs w:val="28"/>
              </w:rPr>
            </w:pPr>
            <w:r>
              <w:rPr>
                <w:rFonts w:hint="eastAsia" w:hAnsi="仿宋" w:cs="仿宋"/>
                <w:color w:val="000000"/>
                <w:sz w:val="28"/>
                <w:szCs w:val="28"/>
              </w:rPr>
              <w:t xml:space="preserve">     </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r>
      <w:tr>
        <w:tblPrEx>
          <w:tblCellMar>
            <w:top w:w="0" w:type="dxa"/>
            <w:left w:w="0" w:type="dxa"/>
            <w:bottom w:w="0" w:type="dxa"/>
            <w:right w:w="0" w:type="dxa"/>
          </w:tblCellMar>
        </w:tblPrEx>
        <w:trPr>
          <w:trHeight w:val="567" w:hRule="exact"/>
          <w:jc w:val="center"/>
        </w:trPr>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hAnsi="仿宋" w:cs="仿宋"/>
                <w:color w:val="000000"/>
                <w:sz w:val="28"/>
                <w:szCs w:val="28"/>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color w:val="000000"/>
                <w:sz w:val="28"/>
                <w:szCs w:val="28"/>
              </w:rPr>
            </w:pPr>
          </w:p>
        </w:tc>
      </w:tr>
      <w:tr>
        <w:tblPrEx>
          <w:tblCellMar>
            <w:top w:w="0" w:type="dxa"/>
            <w:left w:w="0" w:type="dxa"/>
            <w:bottom w:w="0" w:type="dxa"/>
            <w:right w:w="0" w:type="dxa"/>
          </w:tblCellMar>
        </w:tblPrEx>
        <w:trPr>
          <w:trHeight w:val="567" w:hRule="exact"/>
          <w:jc w:val="center"/>
        </w:trPr>
        <w:tc>
          <w:tcPr>
            <w:tcW w:w="698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Ansi="仿宋" w:cs="仿宋"/>
                <w:b/>
                <w:color w:val="000000"/>
                <w:sz w:val="28"/>
                <w:szCs w:val="28"/>
              </w:rPr>
            </w:pPr>
            <w:r>
              <w:rPr>
                <w:rFonts w:hint="eastAsia" w:ascii="仿宋" w:hAnsi="仿宋" w:eastAsia="仿宋" w:cs="仿宋"/>
                <w:color w:val="000000"/>
                <w:kern w:val="0"/>
                <w:sz w:val="28"/>
                <w:szCs w:val="28"/>
              </w:rPr>
              <w:t>合    计</w:t>
            </w: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kern w:val="0"/>
                <w:sz w:val="28"/>
                <w:szCs w:val="28"/>
              </w:rPr>
            </w:pPr>
          </w:p>
        </w:tc>
      </w:tr>
      <w:tr>
        <w:tblPrEx>
          <w:tblCellMar>
            <w:top w:w="0" w:type="dxa"/>
            <w:left w:w="0" w:type="dxa"/>
            <w:bottom w:w="0" w:type="dxa"/>
            <w:right w:w="0" w:type="dxa"/>
          </w:tblCellMar>
        </w:tblPrEx>
        <w:trPr>
          <w:trHeight w:val="2045" w:hRule="atLeast"/>
          <w:jc w:val="center"/>
        </w:trPr>
        <w:tc>
          <w:tcPr>
            <w:tcW w:w="85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500" w:lineRule="exact"/>
              <w:jc w:val="left"/>
              <w:textAlignment w:val="top"/>
              <w:rPr>
                <w:rStyle w:val="12"/>
                <w:rFonts w:hint="eastAsia" w:ascii="仿宋" w:hAnsi="仿宋" w:eastAsia="仿宋" w:cs="仿宋"/>
                <w:sz w:val="28"/>
                <w:szCs w:val="28"/>
                <w:lang w:eastAsia="zh-CN"/>
              </w:rPr>
            </w:pPr>
            <w:r>
              <w:rPr>
                <w:rStyle w:val="11"/>
                <w:rFonts w:hint="eastAsia" w:ascii="仿宋" w:hAnsi="仿宋" w:eastAsia="仿宋" w:cs="仿宋"/>
                <w:sz w:val="28"/>
                <w:szCs w:val="28"/>
              </w:rPr>
              <w:t>乡镇</w:t>
            </w:r>
            <w:r>
              <w:rPr>
                <w:rStyle w:val="11"/>
                <w:rFonts w:hint="eastAsia" w:ascii="仿宋" w:hAnsi="仿宋" w:eastAsia="仿宋" w:cs="仿宋"/>
                <w:sz w:val="28"/>
                <w:szCs w:val="28"/>
                <w:lang w:eastAsia="zh-CN"/>
              </w:rPr>
              <w:t>农业农村部门</w:t>
            </w:r>
            <w:r>
              <w:rPr>
                <w:rStyle w:val="11"/>
                <w:rFonts w:hint="eastAsia" w:ascii="仿宋" w:hAnsi="仿宋" w:eastAsia="仿宋" w:cs="仿宋"/>
                <w:sz w:val="28"/>
                <w:szCs w:val="28"/>
              </w:rPr>
              <w:t>审核意见</w:t>
            </w:r>
            <w:r>
              <w:rPr>
                <w:rStyle w:val="12"/>
                <w:rFonts w:hint="eastAsia" w:ascii="仿宋" w:hAnsi="仿宋" w:eastAsia="仿宋" w:cs="仿宋"/>
                <w:sz w:val="28"/>
                <w:szCs w:val="28"/>
              </w:rPr>
              <w:t>：</w:t>
            </w:r>
          </w:p>
          <w:p>
            <w:pPr>
              <w:widowControl/>
              <w:spacing w:line="500" w:lineRule="exact"/>
              <w:jc w:val="left"/>
              <w:textAlignment w:val="top"/>
              <w:rPr>
                <w:rStyle w:val="12"/>
                <w:rFonts w:hint="eastAsia" w:ascii="仿宋" w:hAnsi="仿宋" w:eastAsia="仿宋" w:cs="仿宋"/>
                <w:sz w:val="28"/>
                <w:szCs w:val="28"/>
                <w:lang w:eastAsia="zh-CN"/>
              </w:rPr>
            </w:pPr>
            <w:r>
              <w:rPr>
                <w:rStyle w:val="12"/>
                <w:rFonts w:hint="eastAsia" w:ascii="仿宋" w:hAnsi="仿宋" w:eastAsia="仿宋" w:cs="仿宋"/>
                <w:sz w:val="28"/>
                <w:szCs w:val="28"/>
              </w:rPr>
              <w:t xml:space="preserve">                                   </w:t>
            </w:r>
            <w:r>
              <w:rPr>
                <w:rStyle w:val="12"/>
                <w:rFonts w:hint="eastAsia" w:ascii="仿宋" w:hAnsi="仿宋" w:eastAsia="仿宋" w:cs="仿宋"/>
                <w:sz w:val="28"/>
                <w:szCs w:val="28"/>
                <w:lang w:val="en-US" w:eastAsia="zh-CN"/>
              </w:rPr>
              <w:t xml:space="preserve"> </w:t>
            </w:r>
            <w:r>
              <w:rPr>
                <w:rStyle w:val="12"/>
                <w:rFonts w:hint="eastAsia" w:ascii="仿宋" w:hAnsi="仿宋" w:eastAsia="仿宋" w:cs="仿宋"/>
                <w:sz w:val="28"/>
                <w:szCs w:val="28"/>
              </w:rPr>
              <w:t>（盖章）：</w:t>
            </w:r>
          </w:p>
          <w:p>
            <w:pPr>
              <w:widowControl/>
              <w:spacing w:line="500" w:lineRule="exact"/>
              <w:jc w:val="left"/>
              <w:textAlignment w:val="top"/>
              <w:rPr>
                <w:rStyle w:val="12"/>
                <w:rFonts w:hint="eastAsia" w:ascii="仿宋" w:hAnsi="仿宋" w:eastAsia="仿宋" w:cs="仿宋"/>
                <w:sz w:val="28"/>
                <w:szCs w:val="28"/>
                <w:lang w:eastAsia="zh-CN"/>
              </w:rPr>
            </w:pPr>
            <w:r>
              <w:rPr>
                <w:rStyle w:val="12"/>
                <w:rFonts w:hint="eastAsia" w:ascii="仿宋" w:hAnsi="仿宋" w:eastAsia="仿宋" w:cs="仿宋"/>
                <w:sz w:val="28"/>
                <w:szCs w:val="28"/>
              </w:rPr>
              <w:t xml:space="preserve">                                    （签字）：                                               </w:t>
            </w:r>
          </w:p>
          <w:p>
            <w:pPr>
              <w:widowControl/>
              <w:spacing w:line="500" w:lineRule="exact"/>
              <w:jc w:val="left"/>
              <w:textAlignment w:val="top"/>
              <w:rPr>
                <w:rStyle w:val="11"/>
                <w:rFonts w:hint="eastAsia" w:ascii="仿宋" w:hAnsi="仿宋" w:eastAsia="仿宋" w:cs="仿宋"/>
                <w:sz w:val="28"/>
                <w:szCs w:val="28"/>
              </w:rPr>
            </w:pPr>
            <w:r>
              <w:rPr>
                <w:rStyle w:val="12"/>
                <w:rFonts w:hint="eastAsia" w:ascii="仿宋" w:hAnsi="仿宋" w:eastAsia="仿宋" w:cs="仿宋"/>
                <w:sz w:val="28"/>
                <w:szCs w:val="28"/>
              </w:rPr>
              <w:t xml:space="preserve">                                   </w:t>
            </w:r>
            <w:r>
              <w:rPr>
                <w:rStyle w:val="13"/>
                <w:rFonts w:hint="eastAsia" w:ascii="仿宋" w:hAnsi="仿宋" w:eastAsia="仿宋" w:cs="仿宋"/>
                <w:sz w:val="28"/>
                <w:szCs w:val="28"/>
              </w:rPr>
              <w:t xml:space="preserve">      </w:t>
            </w:r>
            <w:r>
              <w:rPr>
                <w:rStyle w:val="12"/>
                <w:rFonts w:hint="eastAsia" w:ascii="仿宋" w:hAnsi="仿宋" w:eastAsia="仿宋" w:cs="仿宋"/>
                <w:sz w:val="28"/>
                <w:szCs w:val="28"/>
              </w:rPr>
              <w:t>年</w:t>
            </w:r>
            <w:r>
              <w:rPr>
                <w:rStyle w:val="13"/>
                <w:rFonts w:hint="eastAsia" w:ascii="仿宋" w:hAnsi="仿宋" w:eastAsia="仿宋" w:cs="仿宋"/>
                <w:sz w:val="28"/>
                <w:szCs w:val="28"/>
              </w:rPr>
              <w:t xml:space="preserve">      </w:t>
            </w:r>
            <w:r>
              <w:rPr>
                <w:rStyle w:val="12"/>
                <w:rFonts w:hint="eastAsia" w:ascii="仿宋" w:hAnsi="仿宋" w:eastAsia="仿宋" w:cs="仿宋"/>
                <w:sz w:val="28"/>
                <w:szCs w:val="28"/>
              </w:rPr>
              <w:t>月</w:t>
            </w:r>
            <w:r>
              <w:rPr>
                <w:rStyle w:val="13"/>
                <w:rFonts w:hint="eastAsia" w:ascii="仿宋" w:hAnsi="仿宋" w:eastAsia="仿宋" w:cs="仿宋"/>
                <w:sz w:val="28"/>
                <w:szCs w:val="28"/>
              </w:rPr>
              <w:t xml:space="preserve">      </w:t>
            </w:r>
            <w:r>
              <w:rPr>
                <w:rStyle w:val="12"/>
                <w:rFonts w:hint="eastAsia" w:ascii="仿宋" w:hAnsi="仿宋" w:eastAsia="仿宋" w:cs="仿宋"/>
                <w:sz w:val="28"/>
                <w:szCs w:val="28"/>
              </w:rPr>
              <w:t>日</w:t>
            </w:r>
          </w:p>
        </w:tc>
      </w:tr>
    </w:tbl>
    <w:p>
      <w:pPr>
        <w:snapToGrid w:val="0"/>
        <w:jc w:val="left"/>
        <w:rPr>
          <w:rFonts w:hint="eastAsia" w:ascii="黑体" w:hAnsi="黑体" w:eastAsia="黑体" w:cs="黑体"/>
          <w:sz w:val="32"/>
          <w:szCs w:val="32"/>
        </w:rPr>
        <w:sectPr>
          <w:headerReference r:id="rId5" w:type="default"/>
          <w:footerReference r:id="rId6" w:type="default"/>
          <w:pgSz w:w="11906" w:h="16838"/>
          <w:pgMar w:top="1871" w:right="1531" w:bottom="1531" w:left="1531" w:header="850" w:footer="1247" w:gutter="0"/>
          <w:pgNumType w:fmt="numberInDash"/>
          <w:cols w:space="720"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小标宋简体" w:hAnsi="方正小标宋简体" w:eastAsia="方正小标宋简体" w:cs="方正小标宋简体"/>
          <w:bCs/>
          <w:color w:val="000000"/>
          <w:kern w:val="0"/>
          <w:sz w:val="44"/>
          <w:szCs w:val="4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rPr>
      </w:pPr>
      <w:r>
        <w:rPr>
          <w:rFonts w:hint="eastAsia" w:ascii="方正小标宋简体" w:hAnsi="方正小标宋简体" w:eastAsia="方正小标宋简体" w:cs="方正小标宋简体"/>
          <w:bCs/>
          <w:color w:val="000000"/>
          <w:kern w:val="0"/>
          <w:sz w:val="44"/>
          <w:szCs w:val="44"/>
          <w:lang w:eastAsia="zh-CN"/>
        </w:rPr>
        <w:t>202</w:t>
      </w:r>
      <w:r>
        <w:rPr>
          <w:rFonts w:hint="eastAsia" w:ascii="方正小标宋简体" w:hAnsi="方正小标宋简体" w:eastAsia="方正小标宋简体" w:cs="方正小标宋简体"/>
          <w:bCs/>
          <w:color w:val="000000"/>
          <w:kern w:val="0"/>
          <w:sz w:val="44"/>
          <w:szCs w:val="44"/>
          <w:lang w:val="en-US" w:eastAsia="zh-CN"/>
        </w:rPr>
        <w:t>5</w:t>
      </w:r>
      <w:r>
        <w:rPr>
          <w:rFonts w:hint="eastAsia" w:ascii="方正小标宋简体" w:hAnsi="方正小标宋简体" w:eastAsia="方正小标宋简体" w:cs="方正小标宋简体"/>
          <w:bCs/>
          <w:color w:val="000000"/>
          <w:kern w:val="0"/>
          <w:sz w:val="44"/>
          <w:szCs w:val="44"/>
        </w:rPr>
        <w:t>年乐清市水稻病虫害绿色防控技术示范推广项目申报表</w:t>
      </w:r>
    </w:p>
    <w:p>
      <w:pPr>
        <w:rPr>
          <w:sz w:val="28"/>
          <w:szCs w:val="28"/>
        </w:rPr>
      </w:pPr>
      <w:r>
        <w:rPr>
          <w:rFonts w:hint="eastAsia"/>
          <w:sz w:val="28"/>
          <w:szCs w:val="28"/>
        </w:rPr>
        <w:t>填表人签名：                        填表时间：      年   月   日</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414"/>
        <w:gridCol w:w="1837"/>
        <w:gridCol w:w="1629"/>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33" w:type="dxa"/>
            <w:gridSpan w:val="2"/>
            <w:noWrap w:val="0"/>
            <w:vAlign w:val="center"/>
          </w:tcPr>
          <w:p>
            <w:pPr>
              <w:spacing w:line="400" w:lineRule="exact"/>
              <w:jc w:val="center"/>
              <w:rPr>
                <w:sz w:val="28"/>
                <w:szCs w:val="28"/>
              </w:rPr>
            </w:pPr>
            <w:r>
              <w:rPr>
                <w:rFonts w:hint="eastAsia"/>
                <w:sz w:val="28"/>
                <w:szCs w:val="28"/>
                <w:lang w:eastAsia="zh-CN"/>
              </w:rPr>
              <w:t>实施</w:t>
            </w:r>
            <w:r>
              <w:rPr>
                <w:rFonts w:hint="eastAsia"/>
                <w:sz w:val="28"/>
                <w:szCs w:val="28"/>
              </w:rPr>
              <w:t>主体名称（盖章）</w:t>
            </w:r>
          </w:p>
        </w:tc>
        <w:tc>
          <w:tcPr>
            <w:tcW w:w="5927" w:type="dxa"/>
            <w:gridSpan w:val="3"/>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33" w:type="dxa"/>
            <w:gridSpan w:val="2"/>
            <w:noWrap w:val="0"/>
            <w:vAlign w:val="center"/>
          </w:tcPr>
          <w:p>
            <w:pPr>
              <w:spacing w:line="400" w:lineRule="exact"/>
              <w:jc w:val="center"/>
              <w:rPr>
                <w:sz w:val="28"/>
                <w:szCs w:val="28"/>
              </w:rPr>
            </w:pPr>
            <w:r>
              <w:rPr>
                <w:rFonts w:hint="eastAsia"/>
                <w:sz w:val="28"/>
                <w:szCs w:val="28"/>
              </w:rPr>
              <w:t>工商登记注册号</w:t>
            </w:r>
          </w:p>
        </w:tc>
        <w:tc>
          <w:tcPr>
            <w:tcW w:w="1837" w:type="dxa"/>
            <w:noWrap w:val="0"/>
            <w:vAlign w:val="center"/>
          </w:tcPr>
          <w:p>
            <w:pPr>
              <w:spacing w:line="400" w:lineRule="exact"/>
              <w:jc w:val="center"/>
              <w:rPr>
                <w:sz w:val="28"/>
                <w:szCs w:val="28"/>
              </w:rPr>
            </w:pPr>
          </w:p>
        </w:tc>
        <w:tc>
          <w:tcPr>
            <w:tcW w:w="1629" w:type="dxa"/>
            <w:noWrap w:val="0"/>
            <w:vAlign w:val="center"/>
          </w:tcPr>
          <w:p>
            <w:pPr>
              <w:spacing w:line="400" w:lineRule="exact"/>
              <w:jc w:val="center"/>
              <w:rPr>
                <w:sz w:val="28"/>
                <w:szCs w:val="28"/>
              </w:rPr>
            </w:pPr>
            <w:r>
              <w:rPr>
                <w:rFonts w:hint="eastAsia"/>
                <w:sz w:val="28"/>
                <w:szCs w:val="28"/>
              </w:rPr>
              <w:t>地    址</w:t>
            </w:r>
          </w:p>
        </w:tc>
        <w:tc>
          <w:tcPr>
            <w:tcW w:w="2461"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33" w:type="dxa"/>
            <w:gridSpan w:val="2"/>
            <w:noWrap w:val="0"/>
            <w:vAlign w:val="center"/>
          </w:tcPr>
          <w:p>
            <w:pPr>
              <w:spacing w:line="400" w:lineRule="exact"/>
              <w:jc w:val="center"/>
              <w:rPr>
                <w:sz w:val="28"/>
                <w:szCs w:val="28"/>
              </w:rPr>
            </w:pPr>
            <w:r>
              <w:rPr>
                <w:rFonts w:hint="eastAsia"/>
                <w:sz w:val="28"/>
                <w:szCs w:val="28"/>
              </w:rPr>
              <w:t>注册社员数（人）</w:t>
            </w:r>
          </w:p>
        </w:tc>
        <w:tc>
          <w:tcPr>
            <w:tcW w:w="1837" w:type="dxa"/>
            <w:noWrap w:val="0"/>
            <w:vAlign w:val="center"/>
          </w:tcPr>
          <w:p>
            <w:pPr>
              <w:spacing w:line="400" w:lineRule="exact"/>
              <w:jc w:val="center"/>
              <w:rPr>
                <w:sz w:val="28"/>
                <w:szCs w:val="28"/>
              </w:rPr>
            </w:pPr>
          </w:p>
        </w:tc>
        <w:tc>
          <w:tcPr>
            <w:tcW w:w="1629" w:type="dxa"/>
            <w:noWrap w:val="0"/>
            <w:vAlign w:val="center"/>
          </w:tcPr>
          <w:p>
            <w:pPr>
              <w:spacing w:line="400" w:lineRule="exact"/>
              <w:jc w:val="center"/>
              <w:rPr>
                <w:sz w:val="28"/>
                <w:szCs w:val="28"/>
              </w:rPr>
            </w:pPr>
            <w:r>
              <w:rPr>
                <w:rFonts w:hint="eastAsia"/>
                <w:sz w:val="28"/>
                <w:szCs w:val="28"/>
              </w:rPr>
              <w:t>联系电话</w:t>
            </w:r>
          </w:p>
        </w:tc>
        <w:tc>
          <w:tcPr>
            <w:tcW w:w="2461"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1719" w:type="dxa"/>
            <w:noWrap w:val="0"/>
            <w:vAlign w:val="center"/>
          </w:tcPr>
          <w:p>
            <w:pPr>
              <w:spacing w:line="400" w:lineRule="exact"/>
              <w:jc w:val="center"/>
              <w:rPr>
                <w:rFonts w:hint="eastAsia"/>
                <w:sz w:val="28"/>
                <w:szCs w:val="28"/>
                <w:lang w:eastAsia="zh-CN"/>
              </w:rPr>
            </w:pPr>
            <w:r>
              <w:rPr>
                <w:rFonts w:hint="eastAsia"/>
                <w:sz w:val="28"/>
                <w:szCs w:val="28"/>
              </w:rPr>
              <w:t>拟申报</w:t>
            </w:r>
            <w:r>
              <w:rPr>
                <w:rFonts w:hint="eastAsia"/>
                <w:sz w:val="28"/>
                <w:szCs w:val="28"/>
                <w:lang w:eastAsia="zh-CN"/>
              </w:rPr>
              <w:t>实施</w:t>
            </w:r>
          </w:p>
          <w:p>
            <w:pPr>
              <w:spacing w:line="400" w:lineRule="exact"/>
              <w:jc w:val="center"/>
              <w:rPr>
                <w:sz w:val="28"/>
                <w:szCs w:val="28"/>
              </w:rPr>
            </w:pPr>
            <w:r>
              <w:rPr>
                <w:rFonts w:hint="eastAsia"/>
                <w:sz w:val="28"/>
                <w:szCs w:val="28"/>
              </w:rPr>
              <w:t>面积（亩）</w:t>
            </w:r>
          </w:p>
        </w:tc>
        <w:tc>
          <w:tcPr>
            <w:tcW w:w="7341" w:type="dxa"/>
            <w:gridSpan w:val="4"/>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trPr>
        <w:tc>
          <w:tcPr>
            <w:tcW w:w="1719" w:type="dxa"/>
            <w:noWrap w:val="0"/>
            <w:vAlign w:val="center"/>
          </w:tcPr>
          <w:p>
            <w:pPr>
              <w:spacing w:line="400" w:lineRule="exact"/>
              <w:jc w:val="center"/>
              <w:rPr>
                <w:rFonts w:ascii="宋体" w:hAnsi="宋体"/>
                <w:color w:val="000000"/>
                <w:sz w:val="28"/>
                <w:szCs w:val="28"/>
              </w:rPr>
            </w:pPr>
            <w:r>
              <w:rPr>
                <w:rFonts w:hint="eastAsia"/>
                <w:color w:val="000000"/>
                <w:sz w:val="28"/>
                <w:szCs w:val="28"/>
              </w:rPr>
              <w:t>镇（街道)意见</w:t>
            </w:r>
          </w:p>
        </w:tc>
        <w:tc>
          <w:tcPr>
            <w:tcW w:w="7341" w:type="dxa"/>
            <w:gridSpan w:val="4"/>
            <w:noWrap w:val="0"/>
            <w:vAlign w:val="center"/>
          </w:tcPr>
          <w:p>
            <w:pPr>
              <w:spacing w:line="400" w:lineRule="exact"/>
              <w:jc w:val="both"/>
              <w:rPr>
                <w:rFonts w:hint="eastAsia"/>
                <w:color w:val="000000"/>
                <w:sz w:val="28"/>
                <w:szCs w:val="28"/>
              </w:rPr>
            </w:pPr>
          </w:p>
          <w:p>
            <w:pPr>
              <w:spacing w:line="400" w:lineRule="exact"/>
              <w:jc w:val="both"/>
              <w:rPr>
                <w:rFonts w:ascii="宋体" w:hAnsi="宋体"/>
                <w:color w:val="000000"/>
                <w:sz w:val="28"/>
                <w:szCs w:val="28"/>
              </w:rPr>
            </w:pPr>
            <w:r>
              <w:rPr>
                <w:color w:val="000000"/>
                <w:sz w:val="28"/>
                <w:szCs w:val="28"/>
              </w:rPr>
              <w:t> </w:t>
            </w:r>
          </w:p>
          <w:p>
            <w:pPr>
              <w:spacing w:line="400" w:lineRule="exact"/>
              <w:jc w:val="center"/>
              <w:rPr>
                <w:rFonts w:ascii="宋体" w:hAnsi="宋体"/>
                <w:color w:val="000000"/>
                <w:sz w:val="28"/>
                <w:szCs w:val="28"/>
              </w:rPr>
            </w:pPr>
            <w:r>
              <w:rPr>
                <w:rFonts w:hint="eastAsia"/>
                <w:color w:val="000000"/>
                <w:sz w:val="28"/>
                <w:szCs w:val="28"/>
              </w:rPr>
              <w:t xml:space="preserve">                   负责人签名：</w:t>
            </w:r>
          </w:p>
          <w:p>
            <w:pPr>
              <w:spacing w:line="400" w:lineRule="exact"/>
              <w:jc w:val="center"/>
              <w:rPr>
                <w:rFonts w:ascii="宋体" w:hAnsi="宋体"/>
                <w:color w:val="000000"/>
                <w:sz w:val="28"/>
                <w:szCs w:val="28"/>
              </w:rPr>
            </w:pP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2" w:hRule="atLeast"/>
        </w:trPr>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8"/>
                <w:szCs w:val="28"/>
              </w:rPr>
            </w:pPr>
            <w:r>
              <w:rPr>
                <w:rFonts w:hint="eastAsia"/>
                <w:color w:val="000000"/>
                <w:sz w:val="28"/>
                <w:szCs w:val="28"/>
              </w:rPr>
              <w:t>主管部门意见</w:t>
            </w:r>
          </w:p>
        </w:tc>
        <w:tc>
          <w:tcPr>
            <w:tcW w:w="7341"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color w:val="000000"/>
                <w:sz w:val="28"/>
                <w:szCs w:val="28"/>
              </w:rPr>
            </w:pPr>
          </w:p>
          <w:p>
            <w:pPr>
              <w:spacing w:line="400" w:lineRule="exact"/>
              <w:jc w:val="center"/>
              <w:rPr>
                <w:rFonts w:ascii="宋体" w:hAnsi="宋体"/>
                <w:color w:val="000000"/>
                <w:sz w:val="28"/>
                <w:szCs w:val="28"/>
              </w:rPr>
            </w:pPr>
            <w:r>
              <w:rPr>
                <w:color w:val="000000"/>
                <w:sz w:val="28"/>
                <w:szCs w:val="28"/>
              </w:rPr>
              <w:t> </w:t>
            </w:r>
          </w:p>
          <w:p>
            <w:pPr>
              <w:spacing w:line="400" w:lineRule="exact"/>
              <w:jc w:val="center"/>
              <w:rPr>
                <w:rFonts w:ascii="宋体" w:hAnsi="宋体"/>
                <w:color w:val="000000"/>
                <w:sz w:val="28"/>
                <w:szCs w:val="28"/>
              </w:rPr>
            </w:pPr>
            <w:r>
              <w:rPr>
                <w:rFonts w:hint="eastAsia"/>
                <w:color w:val="000000"/>
                <w:sz w:val="28"/>
                <w:szCs w:val="28"/>
              </w:rPr>
              <w:t xml:space="preserve">                   负责人签名：</w:t>
            </w:r>
          </w:p>
          <w:p>
            <w:pPr>
              <w:spacing w:line="400" w:lineRule="exact"/>
              <w:jc w:val="center"/>
              <w:rPr>
                <w:rFonts w:ascii="宋体" w:hAnsi="宋体"/>
                <w:color w:val="000000"/>
                <w:sz w:val="28"/>
                <w:szCs w:val="28"/>
              </w:rPr>
            </w:pP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8" w:hRule="atLeast"/>
        </w:trPr>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color w:val="000000"/>
                <w:sz w:val="28"/>
                <w:szCs w:val="28"/>
              </w:rPr>
            </w:pPr>
            <w:r>
              <w:rPr>
                <w:rFonts w:hint="eastAsia"/>
                <w:color w:val="000000"/>
                <w:sz w:val="28"/>
                <w:szCs w:val="28"/>
              </w:rPr>
              <w:t>备注</w:t>
            </w:r>
          </w:p>
        </w:tc>
        <w:tc>
          <w:tcPr>
            <w:tcW w:w="7341"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color w:val="000000"/>
                <w:sz w:val="28"/>
                <w:szCs w:val="28"/>
              </w:rPr>
            </w:pPr>
          </w:p>
        </w:tc>
      </w:tr>
    </w:tbl>
    <w:p>
      <w:pPr>
        <w:keepNext w:val="0"/>
        <w:keepLines w:val="0"/>
        <w:pageBreakBefore w:val="0"/>
        <w:widowControl w:val="0"/>
        <w:tabs>
          <w:tab w:val="right" w:pos="8844"/>
        </w:tabs>
        <w:kinsoku/>
        <w:wordWrap/>
        <w:overflowPunct/>
        <w:topLinePunct w:val="0"/>
        <w:autoSpaceDE/>
        <w:autoSpaceDN/>
        <w:bidi w:val="0"/>
        <w:adjustRightInd/>
        <w:snapToGrid w:val="0"/>
        <w:spacing w:line="560" w:lineRule="exact"/>
        <w:jc w:val="left"/>
        <w:textAlignment w:val="auto"/>
        <w:rPr>
          <w:rFonts w:hint="eastAsia" w:ascii="黑体" w:hAnsi="黑体" w:eastAsia="黑体" w:cs="黑体"/>
          <w:sz w:val="32"/>
          <w:szCs w:val="32"/>
          <w:lang w:val="en-US" w:eastAsia="zh-CN"/>
        </w:rPr>
      </w:pPr>
      <w:r>
        <w:rPr>
          <w:rFonts w:ascii="宋体" w:hAnsi="宋体"/>
          <w:color w:val="000000"/>
          <w:sz w:val="24"/>
        </w:rPr>
        <w:br w:type="page"/>
      </w: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lang w:val="en-US" w:eastAsia="zh-CN"/>
        </w:rPr>
      </w:pPr>
      <w:r>
        <w:rPr>
          <w:rFonts w:hint="eastAsia" w:ascii="方正小标宋简体" w:hAnsi="方正小标宋简体" w:eastAsia="方正小标宋简体" w:cs="方正小标宋简体"/>
          <w:bCs/>
          <w:color w:val="000000"/>
          <w:kern w:val="0"/>
          <w:sz w:val="44"/>
          <w:szCs w:val="44"/>
        </w:rPr>
        <w:t>202</w:t>
      </w:r>
      <w:r>
        <w:rPr>
          <w:rFonts w:hint="eastAsia" w:ascii="方正小标宋简体" w:hAnsi="方正小标宋简体" w:eastAsia="方正小标宋简体" w:cs="方正小标宋简体"/>
          <w:bCs/>
          <w:color w:val="000000"/>
          <w:kern w:val="0"/>
          <w:sz w:val="44"/>
          <w:szCs w:val="44"/>
          <w:lang w:val="en-US" w:eastAsia="zh-CN"/>
        </w:rPr>
        <w:t>5</w:t>
      </w:r>
      <w:r>
        <w:rPr>
          <w:rFonts w:hint="eastAsia" w:ascii="方正小标宋简体" w:hAnsi="方正小标宋简体" w:eastAsia="方正小标宋简体" w:cs="方正小标宋简体"/>
          <w:bCs/>
          <w:color w:val="000000"/>
          <w:kern w:val="0"/>
          <w:sz w:val="44"/>
          <w:szCs w:val="44"/>
        </w:rPr>
        <w:t>年</w:t>
      </w:r>
      <w:r>
        <w:rPr>
          <w:rFonts w:hint="eastAsia" w:ascii="方正小标宋简体" w:hAnsi="方正小标宋简体" w:eastAsia="方正小标宋简体" w:cs="方正小标宋简体"/>
          <w:bCs/>
          <w:color w:val="000000"/>
          <w:kern w:val="0"/>
          <w:sz w:val="44"/>
          <w:szCs w:val="44"/>
          <w:lang w:eastAsia="zh-CN"/>
        </w:rPr>
        <w:t>农作物病虫害专业化统防统治</w:t>
      </w:r>
      <w:r>
        <w:rPr>
          <w:rFonts w:hint="eastAsia" w:ascii="方正小标宋简体" w:hAnsi="方正小标宋简体" w:eastAsia="方正小标宋简体" w:cs="方正小标宋简体"/>
          <w:bCs/>
          <w:color w:val="000000"/>
          <w:kern w:val="0"/>
          <w:sz w:val="44"/>
          <w:szCs w:val="44"/>
          <w:lang w:val="en-US" w:eastAsia="zh-CN"/>
        </w:rPr>
        <w:t>项目</w:t>
      </w:r>
    </w:p>
    <w:tbl>
      <w:tblPr>
        <w:tblStyle w:val="7"/>
        <w:tblpPr w:leftFromText="180" w:rightFromText="180" w:vertAnchor="text" w:horzAnchor="page" w:tblpX="1431" w:tblpY="939"/>
        <w:tblOverlap w:val="never"/>
        <w:tblW w:w="8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7"/>
        <w:gridCol w:w="2125"/>
        <w:gridCol w:w="2758"/>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jc w:val="center"/>
        </w:trPr>
        <w:tc>
          <w:tcPr>
            <w:tcW w:w="2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项目名称</w:t>
            </w:r>
          </w:p>
        </w:tc>
        <w:tc>
          <w:tcPr>
            <w:tcW w:w="2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c>
          <w:tcPr>
            <w:tcW w:w="27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项目负责人</w:t>
            </w:r>
          </w:p>
        </w:tc>
        <w:tc>
          <w:tcPr>
            <w:tcW w:w="19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jc w:val="center"/>
        </w:trPr>
        <w:tc>
          <w:tcPr>
            <w:tcW w:w="2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申请奖补档次</w:t>
            </w:r>
          </w:p>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（档）</w:t>
            </w:r>
          </w:p>
        </w:tc>
        <w:tc>
          <w:tcPr>
            <w:tcW w:w="2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c>
          <w:tcPr>
            <w:tcW w:w="27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社会化服务组织名称</w:t>
            </w:r>
          </w:p>
        </w:tc>
        <w:tc>
          <w:tcPr>
            <w:tcW w:w="19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jc w:val="center"/>
        </w:trPr>
        <w:tc>
          <w:tcPr>
            <w:tcW w:w="2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一级指标</w:t>
            </w:r>
          </w:p>
        </w:tc>
        <w:tc>
          <w:tcPr>
            <w:tcW w:w="2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二级指标</w:t>
            </w:r>
          </w:p>
        </w:tc>
        <w:tc>
          <w:tcPr>
            <w:tcW w:w="27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三级指标</w:t>
            </w:r>
          </w:p>
        </w:tc>
        <w:tc>
          <w:tcPr>
            <w:tcW w:w="19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填报值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jc w:val="center"/>
        </w:trPr>
        <w:tc>
          <w:tcPr>
            <w:tcW w:w="2097"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产出指标</w:t>
            </w:r>
          </w:p>
        </w:tc>
        <w:tc>
          <w:tcPr>
            <w:tcW w:w="2125"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val="en-US" w:eastAsia="zh-CN" w:bidi="ar"/>
              </w:rPr>
              <w:t>数量指标</w:t>
            </w: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eastAsia="zh-CN" w:bidi="ar"/>
              </w:rPr>
              <w:t>服务乡镇（个）</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jc w:val="center"/>
        </w:trPr>
        <w:tc>
          <w:tcPr>
            <w:tcW w:w="209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c>
          <w:tcPr>
            <w:tcW w:w="2125" w:type="dxa"/>
            <w:vMerge w:val="continue"/>
            <w:tcBorders>
              <w:left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eastAsia="zh-CN" w:bidi="ar"/>
              </w:rPr>
              <w:t>服务对象（个）</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jc w:val="center"/>
        </w:trPr>
        <w:tc>
          <w:tcPr>
            <w:tcW w:w="209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c>
          <w:tcPr>
            <w:tcW w:w="2125" w:type="dxa"/>
            <w:vMerge w:val="continue"/>
            <w:tcBorders>
              <w:left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eastAsia="zh-CN" w:bidi="ar"/>
              </w:rPr>
              <w:t>服务面积（亩次）</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jc w:val="center"/>
        </w:trPr>
        <w:tc>
          <w:tcPr>
            <w:tcW w:w="209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c>
          <w:tcPr>
            <w:tcW w:w="2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val="en-US" w:eastAsia="zh-CN" w:bidi="ar"/>
              </w:rPr>
              <w:t>质量指标</w:t>
            </w: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防治效果（%）</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jc w:val="center"/>
        </w:trPr>
        <w:tc>
          <w:tcPr>
            <w:tcW w:w="209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c>
          <w:tcPr>
            <w:tcW w:w="2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val="en-US" w:eastAsia="zh-CN" w:bidi="ar"/>
              </w:rPr>
              <w:t>时效指标</w:t>
            </w: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根据虫情、苗青、病虫情报适时用药</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jc w:val="center"/>
        </w:trPr>
        <w:tc>
          <w:tcPr>
            <w:tcW w:w="209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val="en-US" w:eastAsia="zh-CN" w:bidi="ar"/>
              </w:rPr>
              <w:t>效益指标</w:t>
            </w:r>
          </w:p>
        </w:tc>
        <w:tc>
          <w:tcPr>
            <w:tcW w:w="2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val="en-US" w:eastAsia="zh-CN" w:bidi="ar"/>
              </w:rPr>
              <w:t>成本指标</w:t>
            </w: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作业费用（元）</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jc w:val="center"/>
        </w:trPr>
        <w:tc>
          <w:tcPr>
            <w:tcW w:w="209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p>
        </w:tc>
        <w:tc>
          <w:tcPr>
            <w:tcW w:w="2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val="en-US" w:eastAsia="zh-CN" w:bidi="ar"/>
              </w:rPr>
              <w:t>社会效益指标</w:t>
            </w: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eastAsia="zh-CN" w:bidi="ar"/>
              </w:rPr>
            </w:pPr>
            <w:r>
              <w:rPr>
                <w:rFonts w:hint="default" w:ascii="仿宋_GB2312" w:hAnsi="仿宋_GB2312" w:eastAsia="仿宋_GB2312" w:cs="仿宋_GB2312"/>
                <w:kern w:val="0"/>
                <w:sz w:val="24"/>
                <w:szCs w:val="24"/>
                <w:lang w:eastAsia="zh-CN" w:bidi="ar"/>
              </w:rPr>
              <w:t>平均每亩挽回粮食损失（公斤）</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jc w:val="center"/>
        </w:trPr>
        <w:tc>
          <w:tcPr>
            <w:tcW w:w="20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eastAsia="zh-CN" w:bidi="ar"/>
              </w:rPr>
              <w:t>满意度指标</w:t>
            </w:r>
          </w:p>
        </w:tc>
        <w:tc>
          <w:tcPr>
            <w:tcW w:w="2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eastAsia="zh-CN" w:bidi="ar"/>
              </w:rPr>
              <w:t>指导服务对象</w:t>
            </w:r>
          </w:p>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eastAsia="zh-CN" w:bidi="ar"/>
              </w:rPr>
              <w:t>满意度</w:t>
            </w: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满意度（%）</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绩效目标</w:t>
      </w:r>
      <w:r>
        <w:rPr>
          <w:rFonts w:hint="eastAsia" w:ascii="方正小标宋简体" w:hAnsi="方正小标宋简体" w:eastAsia="方正小标宋简体" w:cs="方正小标宋简体"/>
          <w:bCs/>
          <w:color w:val="000000"/>
          <w:kern w:val="0"/>
          <w:sz w:val="44"/>
          <w:szCs w:val="44"/>
          <w:lang w:eastAsia="zh-CN"/>
        </w:rPr>
        <w:t>申报</w:t>
      </w:r>
      <w:r>
        <w:rPr>
          <w:rFonts w:hint="eastAsia" w:ascii="方正小标宋简体" w:hAnsi="方正小标宋简体" w:eastAsia="方正小标宋简体" w:cs="方正小标宋简体"/>
          <w:bCs/>
          <w:color w:val="000000"/>
          <w:kern w:val="0"/>
          <w:sz w:val="44"/>
          <w:szCs w:val="44"/>
        </w:rPr>
        <w:t>表</w:t>
      </w:r>
    </w:p>
    <w:p>
      <w:pPr>
        <w:keepNext w:val="0"/>
        <w:keepLines w:val="0"/>
        <w:pageBreakBefore w:val="0"/>
        <w:widowControl w:val="0"/>
        <w:tabs>
          <w:tab w:val="right" w:pos="8844"/>
        </w:tabs>
        <w:kinsoku/>
        <w:wordWrap/>
        <w:overflowPunct/>
        <w:topLinePunct w:val="0"/>
        <w:autoSpaceDE/>
        <w:autoSpaceDN/>
        <w:bidi w:val="0"/>
        <w:adjustRightInd/>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水稻病虫害绿色防控技术示范推广项目</w:t>
      </w:r>
      <w:r>
        <w:rPr>
          <w:rFonts w:hint="eastAsia" w:ascii="方正小标宋简体" w:hAnsi="方正小标宋简体" w:eastAsia="方正小标宋简体" w:cs="方正小标宋简体"/>
          <w:sz w:val="44"/>
          <w:szCs w:val="44"/>
        </w:rPr>
        <w:t>绩效目标</w:t>
      </w:r>
      <w:r>
        <w:rPr>
          <w:rFonts w:hint="eastAsia" w:ascii="方正小标宋简体" w:hAnsi="方正小标宋简体" w:eastAsia="方正小标宋简体" w:cs="方正小标宋简体"/>
          <w:sz w:val="44"/>
          <w:szCs w:val="44"/>
          <w:lang w:eastAsia="zh-CN"/>
        </w:rPr>
        <w:t>申报</w:t>
      </w:r>
      <w:r>
        <w:rPr>
          <w:rFonts w:hint="eastAsia" w:ascii="方正小标宋简体" w:hAnsi="方正小标宋简体" w:eastAsia="方正小标宋简体" w:cs="方正小标宋简体"/>
          <w:sz w:val="44"/>
          <w:szCs w:val="44"/>
        </w:rPr>
        <w:t>表</w:t>
      </w:r>
    </w:p>
    <w:tbl>
      <w:tblPr>
        <w:tblStyle w:val="7"/>
        <w:tblpPr w:leftFromText="180" w:rightFromText="180" w:vertAnchor="text" w:horzAnchor="page" w:tblpX="1458" w:tblpY="251"/>
        <w:tblOverlap w:val="never"/>
        <w:tblW w:w="89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7"/>
        <w:gridCol w:w="2125"/>
        <w:gridCol w:w="2758"/>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2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项目名称：</w:t>
            </w:r>
          </w:p>
        </w:tc>
        <w:tc>
          <w:tcPr>
            <w:tcW w:w="2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c>
          <w:tcPr>
            <w:tcW w:w="27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项目负责人：</w:t>
            </w:r>
          </w:p>
        </w:tc>
        <w:tc>
          <w:tcPr>
            <w:tcW w:w="19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9" w:hRule="atLeast"/>
        </w:trPr>
        <w:tc>
          <w:tcPr>
            <w:tcW w:w="2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申请补助资金</w:t>
            </w:r>
          </w:p>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（万元）</w:t>
            </w:r>
          </w:p>
        </w:tc>
        <w:tc>
          <w:tcPr>
            <w:tcW w:w="6878"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8" w:hRule="atLeast"/>
        </w:trPr>
        <w:tc>
          <w:tcPr>
            <w:tcW w:w="2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一级指标</w:t>
            </w:r>
          </w:p>
        </w:tc>
        <w:tc>
          <w:tcPr>
            <w:tcW w:w="2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二级指标</w:t>
            </w:r>
          </w:p>
        </w:tc>
        <w:tc>
          <w:tcPr>
            <w:tcW w:w="27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三级指标</w:t>
            </w:r>
          </w:p>
        </w:tc>
        <w:tc>
          <w:tcPr>
            <w:tcW w:w="19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填报值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2097"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产出指标</w:t>
            </w:r>
          </w:p>
        </w:tc>
        <w:tc>
          <w:tcPr>
            <w:tcW w:w="2125"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val="en-US" w:eastAsia="zh-CN" w:bidi="ar"/>
              </w:rPr>
              <w:t>数量指标</w:t>
            </w: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eastAsia="zh-CN" w:bidi="ar"/>
              </w:rPr>
              <w:t>绿色防控区示范面积（亩）</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2097" w:type="dxa"/>
            <w:vMerge w:val="continue"/>
            <w:tcBorders>
              <w:left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c>
          <w:tcPr>
            <w:tcW w:w="2125" w:type="dxa"/>
            <w:vMerge w:val="continue"/>
            <w:tcBorders>
              <w:left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eastAsia="zh-CN" w:bidi="ar"/>
              </w:rPr>
              <w:t>安装诱捕器（套）</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097" w:type="dxa"/>
            <w:vMerge w:val="continue"/>
            <w:tcBorders>
              <w:left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c>
          <w:tcPr>
            <w:tcW w:w="2125" w:type="dxa"/>
            <w:vMerge w:val="continue"/>
            <w:tcBorders>
              <w:left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eastAsia="zh-CN" w:bidi="ar"/>
              </w:rPr>
              <w:t>撒播显花植物种子（公斤）</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rPr>
        <w:tc>
          <w:tcPr>
            <w:tcW w:w="2097" w:type="dxa"/>
            <w:vMerge w:val="continue"/>
            <w:tcBorders>
              <w:left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c>
          <w:tcPr>
            <w:tcW w:w="2125" w:type="dxa"/>
            <w:vMerge w:val="continue"/>
            <w:tcBorders>
              <w:left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eastAsia="zh-CN" w:bidi="ar"/>
              </w:rPr>
              <w:t>种植香根草（丛）</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1" w:hRule="atLeast"/>
        </w:trPr>
        <w:tc>
          <w:tcPr>
            <w:tcW w:w="2097" w:type="dxa"/>
            <w:vMerge w:val="continue"/>
            <w:tcBorders>
              <w:left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c>
          <w:tcPr>
            <w:tcW w:w="21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val="en-US" w:eastAsia="zh-CN" w:bidi="ar"/>
              </w:rPr>
              <w:t>质量指标</w:t>
            </w: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eastAsia="zh-CN" w:bidi="ar"/>
              </w:rPr>
              <w:t>病虫害防控次数（</w:t>
            </w:r>
            <w:r>
              <w:rPr>
                <w:rFonts w:hint="eastAsia" w:ascii="仿宋_GB2312" w:hAnsi="仿宋_GB2312" w:eastAsia="仿宋_GB2312" w:cs="仿宋_GB2312"/>
                <w:kern w:val="0"/>
                <w:sz w:val="24"/>
                <w:szCs w:val="24"/>
                <w:lang w:val="en-US" w:eastAsia="zh-CN" w:bidi="ar"/>
              </w:rPr>
              <w:t>次</w:t>
            </w:r>
            <w:r>
              <w:rPr>
                <w:rFonts w:hint="eastAsia" w:ascii="仿宋_GB2312" w:hAnsi="仿宋_GB2312" w:eastAsia="仿宋_GB2312" w:cs="仿宋_GB2312"/>
                <w:kern w:val="0"/>
                <w:sz w:val="24"/>
                <w:szCs w:val="24"/>
                <w:lang w:eastAsia="zh-CN" w:bidi="ar"/>
              </w:rPr>
              <w:t>）</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097" w:type="dxa"/>
            <w:vMerge w:val="continue"/>
            <w:tcBorders>
              <w:left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c>
          <w:tcPr>
            <w:tcW w:w="21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eastAsia="zh-CN" w:bidi="ar"/>
              </w:rPr>
              <w:t>病虫害防控效果（</w:t>
            </w:r>
            <w:r>
              <w:rPr>
                <w:rFonts w:hint="eastAsia" w:ascii="仿宋_GB2312" w:hAnsi="仿宋_GB2312" w:eastAsia="仿宋_GB2312" w:cs="仿宋_GB2312"/>
                <w:kern w:val="0"/>
                <w:sz w:val="24"/>
                <w:szCs w:val="24"/>
                <w:lang w:val="en-US" w:eastAsia="zh-CN" w:bidi="ar"/>
              </w:rPr>
              <w:t>%</w:t>
            </w:r>
            <w:r>
              <w:rPr>
                <w:rFonts w:hint="eastAsia" w:ascii="仿宋_GB2312" w:hAnsi="仿宋_GB2312" w:eastAsia="仿宋_GB2312" w:cs="仿宋_GB2312"/>
                <w:kern w:val="0"/>
                <w:sz w:val="24"/>
                <w:szCs w:val="24"/>
                <w:lang w:eastAsia="zh-CN" w:bidi="ar"/>
              </w:rPr>
              <w:t>）</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trPr>
        <w:tc>
          <w:tcPr>
            <w:tcW w:w="2097" w:type="dxa"/>
            <w:vMerge w:val="continue"/>
            <w:tcBorders>
              <w:left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c>
          <w:tcPr>
            <w:tcW w:w="2125"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val="en-US" w:eastAsia="zh-CN" w:bidi="ar"/>
              </w:rPr>
              <w:t>时效指标</w:t>
            </w: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适时安装诱捕器、种植香根草和显花植物</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trPr>
        <w:tc>
          <w:tcPr>
            <w:tcW w:w="2097"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p>
        </w:tc>
        <w:tc>
          <w:tcPr>
            <w:tcW w:w="2125"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根据虫情、苗青、病虫情报适时用药</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2097"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val="en-US" w:eastAsia="zh-CN" w:bidi="ar"/>
              </w:rPr>
              <w:t>效益指标</w:t>
            </w:r>
          </w:p>
        </w:tc>
        <w:tc>
          <w:tcPr>
            <w:tcW w:w="2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val="en-US" w:eastAsia="zh-CN" w:bidi="ar"/>
              </w:rPr>
              <w:t>成本指标</w:t>
            </w: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val="en-US" w:eastAsia="zh-CN" w:bidi="ar"/>
              </w:rPr>
              <w:t>采购物资</w:t>
            </w:r>
            <w:r>
              <w:rPr>
                <w:rFonts w:hint="eastAsia" w:ascii="仿宋_GB2312" w:hAnsi="仿宋_GB2312" w:eastAsia="仿宋_GB2312" w:cs="仿宋_GB2312"/>
                <w:kern w:val="0"/>
                <w:sz w:val="24"/>
                <w:szCs w:val="24"/>
                <w:lang w:val="en-US" w:eastAsia="zh-CN" w:bidi="ar"/>
              </w:rPr>
              <w:t>费用（元）</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2097"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bidi="ar"/>
              </w:rPr>
            </w:pPr>
          </w:p>
        </w:tc>
        <w:tc>
          <w:tcPr>
            <w:tcW w:w="2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可持续影响指标</w:t>
            </w:r>
          </w:p>
        </w:tc>
        <w:tc>
          <w:tcPr>
            <w:tcW w:w="2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保护和改善农业生态环境，达到绿色防控，减少化学农药使用</w:t>
            </w:r>
          </w:p>
        </w:tc>
        <w:tc>
          <w:tcPr>
            <w:tcW w:w="1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default" w:ascii="仿宋_GB2312" w:hAnsi="仿宋_GB2312" w:eastAsia="仿宋_GB2312" w:cs="仿宋_GB2312"/>
                <w:kern w:val="0"/>
                <w:sz w:val="24"/>
                <w:szCs w:val="24"/>
                <w:lang w:val="en-US" w:eastAsia="zh-CN" w:bidi="ar"/>
              </w:rPr>
            </w:pPr>
          </w:p>
        </w:tc>
      </w:tr>
    </w:tbl>
    <w:p>
      <w:pPr>
        <w:jc w:val="left"/>
        <w:rPr>
          <w:rFonts w:ascii="宋体" w:hAnsi="宋体"/>
          <w:color w:val="000000"/>
          <w:sz w:val="24"/>
        </w:rPr>
        <w:sectPr>
          <w:footerReference r:id="rId7" w:type="default"/>
          <w:pgSz w:w="11906" w:h="16838"/>
          <w:pgMar w:top="1871" w:right="1531" w:bottom="1531" w:left="1531" w:header="851" w:footer="1247"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7A"/>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val="en-US"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mM5NmQyZjBlOTgyYTA0NGUyN2JjY2FmMjE0NjEifQ=="/>
    <w:docVar w:name="KSO_WPS_MARK_KEY" w:val="8c61fb07-d711-4f68-9e07-3fb01d035cf6"/>
  </w:docVars>
  <w:rsids>
    <w:rsidRoot w:val="35E113DC"/>
    <w:rsid w:val="03255D65"/>
    <w:rsid w:val="120D0867"/>
    <w:rsid w:val="13605EB9"/>
    <w:rsid w:val="21D84406"/>
    <w:rsid w:val="35E113DC"/>
    <w:rsid w:val="3A2709BD"/>
    <w:rsid w:val="54CF13D6"/>
    <w:rsid w:val="575915DC"/>
    <w:rsid w:val="75C17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widowControl w:val="0"/>
      <w:adjustRightInd/>
      <w:snapToGrid/>
      <w:ind w:firstLine="420" w:firstLineChars="100"/>
      <w:jc w:val="both"/>
    </w:pPr>
    <w:rPr>
      <w:rFonts w:ascii="Times New Roman" w:hAnsi="Times New Roman" w:eastAsia="宋体" w:cs="Times New Roman"/>
      <w:kern w:val="2"/>
      <w:sz w:val="21"/>
      <w:szCs w:val="20"/>
      <w:lang w:val="zh-CN"/>
    </w:rPr>
  </w:style>
  <w:style w:type="paragraph" w:styleId="3">
    <w:name w:val="Body Text"/>
    <w:basedOn w:val="1"/>
    <w:unhideWhenUsed/>
    <w:qFormat/>
    <w:uiPriority w:val="99"/>
    <w:pPr>
      <w:spacing w:after="120"/>
    </w:pPr>
  </w:style>
  <w:style w:type="paragraph" w:styleId="5">
    <w:name w:val="footer"/>
    <w:basedOn w:val="1"/>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character" w:customStyle="1" w:styleId="10">
    <w:name w:val="fontstyle01"/>
    <w:basedOn w:val="8"/>
    <w:qFormat/>
    <w:uiPriority w:val="0"/>
    <w:rPr>
      <w:rFonts w:ascii="仿宋_GB2312" w:hAnsi="仿宋_GB2312" w:eastAsia="仿宋_GB2312" w:cs="仿宋_GB2312"/>
      <w:color w:val="000000"/>
      <w:sz w:val="32"/>
      <w:szCs w:val="32"/>
    </w:rPr>
  </w:style>
  <w:style w:type="character" w:customStyle="1" w:styleId="11">
    <w:name w:val="font11"/>
    <w:basedOn w:val="8"/>
    <w:qFormat/>
    <w:uiPriority w:val="0"/>
    <w:rPr>
      <w:rFonts w:hint="eastAsia" w:ascii="宋体" w:hAnsi="宋体" w:eastAsia="宋体" w:cs="宋体"/>
      <w:b/>
      <w:color w:val="000000"/>
      <w:sz w:val="24"/>
      <w:szCs w:val="24"/>
      <w:u w:val="none"/>
    </w:rPr>
  </w:style>
  <w:style w:type="character" w:customStyle="1" w:styleId="12">
    <w:name w:val="font61"/>
    <w:basedOn w:val="8"/>
    <w:qFormat/>
    <w:uiPriority w:val="0"/>
    <w:rPr>
      <w:rFonts w:hint="eastAsia" w:ascii="宋体" w:hAnsi="宋体" w:eastAsia="宋体" w:cs="宋体"/>
      <w:color w:val="000000"/>
      <w:sz w:val="24"/>
      <w:szCs w:val="24"/>
      <w:u w:val="none"/>
    </w:rPr>
  </w:style>
  <w:style w:type="character" w:customStyle="1" w:styleId="13">
    <w:name w:val="font01"/>
    <w:basedOn w:val="8"/>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17</Pages>
  <Words>5460</Words>
  <Characters>5664</Characters>
  <Lines>0</Lines>
  <Paragraphs>0</Paragraphs>
  <TotalTime>5</TotalTime>
  <ScaleCrop>false</ScaleCrop>
  <LinksUpToDate>false</LinksUpToDate>
  <CharactersWithSpaces>6191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2025-06-17T06:16:00Z</dcterms:created>
  <dc:creator>WPS_1647063113</dc:creator>
  <cp:lastModifiedBy>cz～</cp:lastModifiedBy>
  <dcterms:modified xsi:type="dcterms:W3CDTF">2025-06-17T09:08:01Z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30EFD59A1B284D09AF8F8DC37810566E_12</vt:lpwstr>
  </property>
</Properties>
</file>