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kern w:val="2"/>
          <w:sz w:val="44"/>
          <w:lang w:eastAsia="zh-CN"/>
        </w:rPr>
      </w:pPr>
      <w:bookmarkStart w:id="1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《</w:t>
      </w:r>
      <w:r>
        <w:rPr>
          <w:rFonts w:hint="eastAsia" w:ascii="方正小标宋_GBK" w:eastAsia="方正小标宋_GBK"/>
          <w:sz w:val="40"/>
          <w:szCs w:val="36"/>
        </w:rPr>
        <w:t>关于推进“三农”高质量发展的若干政策实施细则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》</w:t>
      </w:r>
      <w:r>
        <w:rPr>
          <w:rFonts w:hint="eastAsia" w:ascii="方正小标宋简体" w:hAnsi="方正小标宋简体" w:eastAsia="方正小标宋简体"/>
          <w:kern w:val="2"/>
          <w:sz w:val="44"/>
          <w:lang w:eastAsia="zh-CN"/>
        </w:rPr>
        <w:t>政策解读</w:t>
      </w:r>
    </w:p>
    <w:bookmarkEnd w:id="1"/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1"/>
        <w:jc w:val="both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一、政策制定背景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为贯彻落实农业农村优先发展总方针，推动“三农”高质量发展，助推乡村振兴战略实施，根据《中共绍兴市上虞区委办公室 绍兴市上虞区人民政府办公室印发&lt;关于推进“三农”高质量发展的若干政策&gt;等三个政策文件的通知》（区委办〔2024〕9 号），我局会同区发改局、自规局、财政局、供销总社等部门制定本实施细则。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43" w:line="570" w:lineRule="exact"/>
        <w:ind w:left="118" w:firstLine="616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instrText xml:space="preserve"> HYPERLINK \l _Toc6336 </w:instrTex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（一） 发展高效生态农业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对规模粮油种植、水稻机插、粮食生产贷款贴息、配方肥推广应用、省级农作物病虫害绿色防控（农药定额制）示范区建设、机插储备秧、粮食订单、良种订单、粮食流通、社会化储粮、农资应急储备、屠宰企业非洲猪瘟检测，生猪屠宰企业生产垃圾、病死猪及检验检疫废弃物处置，生猪引种，生猪养殖场（乡镇）生物安全、污染处理提升，保障型蔬菜基地、高品质果园、茶园基地、中药材基地建设，规模油茶种植、规模林下种植、农用无人机飞防植保服务、农事服务中心建设等23个事项予以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2.明确扶持对象、扶持标准、申报材料、审批程序、上报要求等。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instrText xml:space="preserve"> HYPERLINK \l _Toc7681 </w:instrTex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（二）促进产业融合发展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instrText xml:space="preserve"> HYPERLINK \l _Toc30103 </w:instrTex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对“浙农码”农产品质量安全追溯管理、深化农产品质量安全网格化管理、茶叶公用品牌建设、农产品展示展销、产销对接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等5个事项予以政策支持。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2.明确扶持对象、扶持标准、申报材料、审批程序、上报要求等。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instrText xml:space="preserve"> HYPERLINK \l _Toc21687 </w:instrTex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（三）培育新型农业经营主体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1.对技改投入奖励、农业企业销售上台阶、入驻农创智谷项目、乡村人才培育、即时奖补项目等5个事项予以政策支持。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2.明确扶持对象、扶持标准、申报材料、审批程序、上报要求等。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instrText xml:space="preserve"> HYPERLINK \l _Toc3496 </w:instrTex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（四）推进和美乡村建设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instrText xml:space="preserve"> HYPERLINK \l _Toc12440 </w:instrTex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对枯死松树清理、中幼林抚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育等2个事项予以政策支持。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2.明确扶持对象、扶持标准、申报材料、审批程序、上报要求等。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instrText xml:space="preserve"> HYPERLINK \l _Toc10922 </w:instrTex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（五）深化农村改革</w:t>
      </w: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instrText xml:space="preserve"> HYPERLINK \l _Toc1436 </w:instrTex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对继续实施政策性农业保险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予以政策支持。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2.明确扶持对象、扶持标准、申报材料、审批程序、上报要求等。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bookmarkStart w:id="0" w:name="_Toc13130"/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（六）其他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1.高标准农田建设，根据《关于印发&lt;绍兴市上虞区农田建设补助资金和项目管理实施办法（修订稿）&gt;的通知》(虞区农〔2023〕76号)执行。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2.提升农村人居环境治理，根据《关于进一步加强新时代美丽乡村建设项目管理的通知》（虞区农函〔2021〕129号）执行。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3.鼓励土地流转适度规模经营，根据《关于促进农村土地承包经营权流转政策意见的实施细则》（虞土流办〔2019〕2号）执行。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4.示范创建类项目根据有关命名文件按规定程序兑现。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43" w:line="570" w:lineRule="exact"/>
        <w:ind w:left="118" w:firstLine="616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本政策适用于绍兴市上虞区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43" w:line="570" w:lineRule="exact"/>
        <w:ind w:left="118" w:firstLine="616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四、解读机关、解读人及联系方式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解读机关：绍兴市上虞区农业农村局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解 读 人：章妙芬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联系电话：82210124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CB87EC"/>
    <w:multiLevelType w:val="singleLevel"/>
    <w:tmpl w:val="7BCB87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2030"/>
    <w:rsid w:val="01CE11B9"/>
    <w:rsid w:val="02445C0E"/>
    <w:rsid w:val="04990981"/>
    <w:rsid w:val="0CC97766"/>
    <w:rsid w:val="0F02592C"/>
    <w:rsid w:val="130E750D"/>
    <w:rsid w:val="13584924"/>
    <w:rsid w:val="16E62CA3"/>
    <w:rsid w:val="1A585822"/>
    <w:rsid w:val="269110E6"/>
    <w:rsid w:val="29D265BE"/>
    <w:rsid w:val="2F9A584A"/>
    <w:rsid w:val="32D33632"/>
    <w:rsid w:val="3358740A"/>
    <w:rsid w:val="34F665F2"/>
    <w:rsid w:val="39F7790A"/>
    <w:rsid w:val="3A704A96"/>
    <w:rsid w:val="3CEA63D1"/>
    <w:rsid w:val="3F792F1E"/>
    <w:rsid w:val="470747F8"/>
    <w:rsid w:val="4E340B4C"/>
    <w:rsid w:val="56476045"/>
    <w:rsid w:val="591F57EB"/>
    <w:rsid w:val="5AB610DA"/>
    <w:rsid w:val="5FA77B27"/>
    <w:rsid w:val="64697448"/>
    <w:rsid w:val="6A3E5283"/>
    <w:rsid w:val="6BAE18B0"/>
    <w:rsid w:val="6BB815D9"/>
    <w:rsid w:val="70D250C3"/>
    <w:rsid w:val="70FA218E"/>
    <w:rsid w:val="74576CDE"/>
    <w:rsid w:val="7C145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0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0000FF"/>
      <w:u w:val="none"/>
    </w:rPr>
  </w:style>
  <w:style w:type="character" w:customStyle="1" w:styleId="13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雨天下雪</dc:creator>
  <cp:lastModifiedBy>Administrator</cp:lastModifiedBy>
  <dcterms:modified xsi:type="dcterms:W3CDTF">2024-03-20T07:01:03Z</dcterms:modified>
  <dc:title>《绍兴市上虞区加快科技创新若干政策》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FE27F1FC0BB74A3B93EB6A1BDC209C0C</vt:lpwstr>
  </property>
</Properties>
</file>