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东阳市内培工业企业“阳光供地”实施办法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》起草说明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  <w:woUserID w:val="1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  <w:r>
        <w:rPr>
          <w:rFonts w:hint="default" w:ascii="黑体" w:hAnsi="黑体" w:eastAsia="黑体" w:cs="黑体"/>
          <w:sz w:val="32"/>
          <w:szCs w:val="32"/>
          <w:lang w:eastAsia="zh-CN"/>
          <w:woUserID w:val="1"/>
        </w:rPr>
        <w:t>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为贯彻落实《浙江省人民政府关于深化"亩均论英雄"改革的指导意见》《东阳市工业用地全生命周期管理实施办法》文件精神，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为进一步加强工业用地高质量利用全周期管理，提高土地开发利用效率和亩均产出水平，优化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土地资源配置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产业结构，助力工业经济高质量发展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结合我市实际，制定本实施办法。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自去年开始，我市就在机制上积极探索阳光供地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，并组织相关人员到温州乐清学习“数据得地”优秀经验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在学习的基础上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结合我市内部企业供地实际，起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《实施办法》初稿，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编写了阳光供地流程图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评审评分表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积极与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发改、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资规等相关业务部门沟通协调，就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项目准入、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供地流程等关键内容进行完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日，书面征求了市人大、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市政协、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市纪委、市发改局、</w:t>
      </w:r>
      <w:r>
        <w:rPr>
          <w:rFonts w:hint="eastAsia" w:ascii="仿宋" w:hAnsi="仿宋" w:eastAsia="仿宋" w:cs="仿宋"/>
          <w:sz w:val="32"/>
          <w:szCs w:val="32"/>
        </w:rPr>
        <w:t>市自然资源和规划局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市科技局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市应急管理局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市市场监管局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市税务局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、市</w:t>
      </w:r>
      <w:r>
        <w:rPr>
          <w:rFonts w:hint="eastAsia" w:ascii="仿宋" w:hAnsi="仿宋" w:eastAsia="仿宋" w:cs="仿宋"/>
          <w:sz w:val="32"/>
          <w:szCs w:val="32"/>
        </w:rPr>
        <w:t>生态环境东阳分局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市统计局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市民政局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以及属地政府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等部门单位意见，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  <w:woUserID w:val="1"/>
        </w:rPr>
        <w:t>采纳相关意见后，形成最终的《征求意见稿》。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《实施办法》共分为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五个部分，涵盖了</w:t>
      </w:r>
      <w:r>
        <w:rPr>
          <w:rFonts w:hint="eastAsia" w:ascii="仿宋" w:hAnsi="仿宋" w:eastAsia="仿宋" w:cs="仿宋"/>
          <w:sz w:val="32"/>
          <w:szCs w:val="32"/>
        </w:rPr>
        <w:t>供地条件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供地流程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供地要求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特殊情况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等内容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（一）严格供地申请条件。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本市行政区域内规上企业；上年度亩产效益综合评价为A、B类，且亩均税收不低于12万元；企业工业产值或税收近三年连续正增长；项目指标必须满足省“标准地”控制性指标要求且亩均税收不低于20万元。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（二）规范阳光供地流程。一是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地块收集，属地通过“阳光供地”系统提交拟出让地块信息。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用地申请，企业通过“阳光供地”系统提交用地申请。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评审赋分，根据经济效益、企业成长、项目质量、科技创新、转型升级和个性指标6项内容对企业进行赋分。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匹配企业，根据地块信息、评审赋分等情况，按照分值高低进行匹配。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实地考察，对企业开展现场评审，结合评审情况和项目可行性报告，提出初步匹配建议方案。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结果运用，综合考量评审赋分情况、拟供地块情况等，讨论确定拟供地企业名单。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阳光公示，在东阳市人民政府网站按照要求进行7天公示。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（三）分类设置用地规模申请。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超亿元无地企业可申请超过40亩工业用地、产值超亿元有地企业可申请30亩及以下工业用地、2000万元-1亿元无地企业可申请20亩及以下工业用地、2000万元-1亿元有地企业可申请15亩及以下工业用地。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（四）设置“一票否决项”。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不符合国家产业政策导向；不符合应急、环保要求和能耗标准；纳税信用等级税务机关评定C级或D级；近3年发生安全生产亡人事故；近5年企业有转让一级市场取得的工业用地；企业存在拖欠税费行为的；企业大股东前期签订的全生命周期履约协议有违约行为等7种情形予以“一票否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（五）规定审慎供地和暂缓供地情形。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对有出租给其它工业企业或个体工商户的，予以审慎供地。对申请内培用地企业综合评分低于50分，或当年度工业产值税收增速明显下降，或会议认为存在其他不适宜供地情形的，予以暂缓供地。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东阳市经济和信息化局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2025年7月8日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77F4A"/>
    <w:rsid w:val="172B2E08"/>
    <w:rsid w:val="2D856DC3"/>
    <w:rsid w:val="2D8876EC"/>
    <w:rsid w:val="337A1F7E"/>
    <w:rsid w:val="3B801A00"/>
    <w:rsid w:val="471B1FAF"/>
    <w:rsid w:val="4B377F4A"/>
    <w:rsid w:val="532E1087"/>
    <w:rsid w:val="5AA26009"/>
    <w:rsid w:val="6F773AB6"/>
    <w:rsid w:val="70022AC6"/>
    <w:rsid w:val="7A415856"/>
    <w:rsid w:val="7B897503"/>
    <w:rsid w:val="98EFCEE5"/>
    <w:rsid w:val="F78EF531"/>
    <w:rsid w:val="FD2F8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1648</Words>
  <Characters>1678</Characters>
  <Lines>1</Lines>
  <Paragraphs>1</Paragraphs>
  <TotalTime>14</TotalTime>
  <ScaleCrop>false</ScaleCrop>
  <LinksUpToDate>false</LinksUpToDate>
  <CharactersWithSpaces>1680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2025-07-07T15:47:00Z</dcterms:created>
  <dc:creator>翀</dc:creator>
  <cp:lastModifiedBy>听涛拍岸</cp:lastModifiedBy>
  <dcterms:modified xsi:type="dcterms:W3CDTF">2025-07-08T16:12:26Z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eyJoZGlkIjoiNThjOGZkODU2YmJkZWY2NWZiZTAyNDE1ZmNjNDUzZTgiLCJ1c2VySWQiOiIzMTU2MDczNjMifQ==</vt:lpwstr>
  </property>
  <property fmtid="{D5CDD505-2E9C-101B-9397-08002B2CF9AE}" pid="4" name="ICV">
    <vt:lpwstr>43075D70F3B54294B3DB6555FE02A80F_13</vt:lpwstr>
  </property>
</Properties>
</file>