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诸暨市发展和改革局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关于公布行政规范性文件清理结果的通知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根据《浙江省行政规范性文件管理办法》，</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局对</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年1月1日至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月31日期间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行政规范性文件进行了清理</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，宣布失效的行政规范性文件</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继续有效的行政规范性文件</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件。现将清理结果予以公布。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附件：诸暨市发展和改革局行政规范性文件清理结果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诸暨市发展和改革局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2024年6月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napToGrid/>
          <w:kern w:val="2"/>
          <w:sz w:val="32"/>
          <w:szCs w:val="32"/>
          <w:lang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诸暨市</w:t>
      </w:r>
      <w:r>
        <w:rPr>
          <w:rFonts w:hint="eastAsia" w:ascii="方正小标宋简体" w:hAnsi="方正小标宋简体" w:eastAsia="方正小标宋简体" w:cs="方正小标宋简体"/>
          <w:sz w:val="44"/>
          <w:szCs w:val="44"/>
          <w:lang w:eastAsia="zh-CN"/>
        </w:rPr>
        <w:t>发展和改革</w:t>
      </w:r>
      <w:r>
        <w:rPr>
          <w:rFonts w:hint="eastAsia" w:ascii="方正小标宋简体" w:hAnsi="方正小标宋简体" w:eastAsia="方正小标宋简体" w:cs="方正小标宋简体"/>
          <w:sz w:val="44"/>
          <w:szCs w:val="44"/>
        </w:rPr>
        <w:t>局行政规范性文件清理结果</w:t>
      </w:r>
    </w:p>
    <w:p>
      <w:pPr>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w:t>
      </w:r>
      <w:r>
        <w:rPr>
          <w:rFonts w:hint="eastAsia" w:ascii="黑体" w:hAnsi="黑体" w:eastAsia="黑体" w:cs="仿宋_GB2312"/>
          <w:sz w:val="32"/>
          <w:szCs w:val="32"/>
          <w:lang w:eastAsia="zh-CN"/>
        </w:rPr>
        <w:t>宣布失效</w:t>
      </w:r>
      <w:r>
        <w:rPr>
          <w:rFonts w:hint="eastAsia" w:ascii="黑体" w:hAnsi="黑体" w:eastAsia="黑体" w:cs="仿宋_GB2312"/>
          <w:sz w:val="32"/>
          <w:szCs w:val="32"/>
        </w:rPr>
        <w:t>的行政规范性文件</w:t>
      </w:r>
    </w:p>
    <w:tbl>
      <w:tblPr>
        <w:tblStyle w:val="8"/>
        <w:tblW w:w="91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5726"/>
        <w:gridCol w:w="2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56" w:type="dxa"/>
            <w:vAlign w:val="top"/>
          </w:tcPr>
          <w:p>
            <w:pPr>
              <w:pStyle w:val="7"/>
              <w:spacing w:before="132" w:line="217" w:lineRule="auto"/>
              <w:ind w:left="142"/>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pacing w:val="-7"/>
                <w:sz w:val="21"/>
                <w:szCs w:val="21"/>
              </w:rPr>
              <w:t>序号</w:t>
            </w:r>
          </w:p>
        </w:tc>
        <w:tc>
          <w:tcPr>
            <w:tcW w:w="5726" w:type="dxa"/>
            <w:vAlign w:val="top"/>
          </w:tcPr>
          <w:p>
            <w:pPr>
              <w:pStyle w:val="7"/>
              <w:spacing w:before="132" w:line="219" w:lineRule="auto"/>
              <w:ind w:left="2460"/>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pacing w:val="-9"/>
                <w:sz w:val="21"/>
                <w:szCs w:val="21"/>
              </w:rPr>
              <w:t>题</w:t>
            </w:r>
            <w:r>
              <w:rPr>
                <w:rFonts w:hint="eastAsia" w:ascii="仿宋_GB2312" w:hAnsi="仿宋_GB2312" w:eastAsia="仿宋_GB2312" w:cs="仿宋_GB2312"/>
                <w:b w:val="0"/>
                <w:bCs w:val="0"/>
                <w:color w:val="auto"/>
                <w:spacing w:val="3"/>
                <w:sz w:val="21"/>
                <w:szCs w:val="21"/>
              </w:rPr>
              <w:t xml:space="preserve">  </w:t>
            </w:r>
            <w:r>
              <w:rPr>
                <w:rFonts w:hint="eastAsia" w:ascii="仿宋_GB2312" w:hAnsi="仿宋_GB2312" w:eastAsia="仿宋_GB2312" w:cs="仿宋_GB2312"/>
                <w:b w:val="0"/>
                <w:bCs w:val="0"/>
                <w:color w:val="auto"/>
                <w:spacing w:val="-9"/>
                <w:sz w:val="21"/>
                <w:szCs w:val="21"/>
              </w:rPr>
              <w:t>名</w:t>
            </w:r>
          </w:p>
        </w:tc>
        <w:tc>
          <w:tcPr>
            <w:tcW w:w="2665" w:type="dxa"/>
            <w:vAlign w:val="top"/>
          </w:tcPr>
          <w:p>
            <w:pPr>
              <w:pStyle w:val="7"/>
              <w:spacing w:before="131" w:line="219" w:lineRule="auto"/>
              <w:ind w:left="848"/>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pacing w:val="-13"/>
                <w:sz w:val="21"/>
                <w:szCs w:val="21"/>
              </w:rPr>
              <w:t>文</w:t>
            </w:r>
            <w:r>
              <w:rPr>
                <w:rFonts w:hint="eastAsia" w:ascii="仿宋_GB2312" w:hAnsi="仿宋_GB2312" w:eastAsia="仿宋_GB2312" w:cs="仿宋_GB2312"/>
                <w:b w:val="0"/>
                <w:bCs w:val="0"/>
                <w:color w:val="auto"/>
                <w:spacing w:val="9"/>
                <w:sz w:val="21"/>
                <w:szCs w:val="21"/>
              </w:rPr>
              <w:t xml:space="preserve">  </w:t>
            </w:r>
            <w:r>
              <w:rPr>
                <w:rFonts w:hint="eastAsia" w:ascii="仿宋_GB2312" w:hAnsi="仿宋_GB2312" w:eastAsia="仿宋_GB2312" w:cs="仿宋_GB2312"/>
                <w:b w:val="0"/>
                <w:bCs w:val="0"/>
                <w:color w:val="auto"/>
                <w:spacing w:val="-13"/>
                <w:sz w:val="21"/>
                <w:szCs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57" w:line="180"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关于市质量技术监督局举办特种设备作业人员培训收费标准的批复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225" w:line="180"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关于市农机管理总站举办拖拉机驾驶员培训收费标准的批复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诸发改价〔2014〕20号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250" w:line="181"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关于市职业教育中心举办远程教育入学考试等培训收费标准的批复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诸发改价〔2014〕29号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0" w:line="180"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关于公布2014年度诸暨市公共租赁住房（原廉租住房部分）保障对象家庭收入标准和住房困难标准的通知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诸发改价〔2014〕38号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6"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关于公布2014年度公共租赁住房（原廉租住房部分）租金标准 租赁补贴标准 租金减免标准的通知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诸发改价〔2014〕39号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3" w:line="181"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关于市统计局举办统计继续教育培训收费标准的批复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诸发改价〔2014〕40号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关于市档案局举办档案管理人员上岗资格培训收费标准的批复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诸发改价〔2014〕44号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关于调整一般道路车辆救援服务收费标准的通知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诸发改价〔2014〕63号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关于市职业能力培训指导中心举办汽车驾驶员等10个工种理论知识和操作技能培训收费标准的批复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诸发改价〔2014〕72号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关于调整三都中学学生住宿费标准的通知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诸发改价〔2014〕73号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关于调整浬浦中学学生住宿费标准的通知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诸发改价〔2014〕74号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关于核定诸暨力天食品有限公司新建的机械化屠宰中心屠宰服务收费标准的通知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诸发改价〔2014〕90号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关于核定永兴停车场及江东分院停车场停车服务收费标准的通知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诸发改价〔2014〕109号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关于核定五泄风景区北门停车场停车服务收费标准的通知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诸发改价〔2014〕152号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关于市质量技术监督局举办特种设备作业人员培训收费标准的批复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关于市人力资源和社会保障局举办信息化知识和计算机应用能力等培训收费标准的批复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诸发改价〔2015〕11号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关于调整市技工学校学生住宿费标准的通知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诸发改价〔2015〕22号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诸发改价〔2015〕30号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关于市职业能力培训指导中心举办汽车驾驶员等11个工种理论知识和操作技能培训收费标准的批复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诸发改价〔2015〕35号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关于市人力资源和社会保障局举办新进事业单位工作人员岗前培训收费标准的批复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关于调整诸暨市第二高级中学学生住宿费标准的通知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诸发改价〔2015〕43号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关于核定诸暨市中心医院院内停车场停车服务收费标准的通知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诸发改价〔2015〕45号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关于市职业教育中心举办远程入学考试等培训收费标准的批复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诸发改价〔2015〕49号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关于核定诸暨草塔中学收费标准的通知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诸发改价〔2015〕52号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关于核定浙江省诸暨市牌头中学收费标准的通知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诸发改价〔2015〕53号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关于核定诸暨中学暨阳分校收费标准的通知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诸发改价〔2015〕54号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关于核定诸暨湄池中学收费标准的通知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诸发改价〔2015〕55号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关于诸暨技师学院举办人力资源管理员等54个工种理论知识和操作技能培训收费标准的批复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诸发改价〔2015〕67号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关于核定火车站临时停车场停车服务收费标准的通知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诸发改价〔2015〕78号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关于调整诸暨市店口镇育蕾民工子弟学校学费标准的通知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诸发改价〔2015〕80号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关于调整诸暨荣怀学校收费标准的通知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诸发改价〔2015〕84号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关于核定诸暨市开放双语实验学校收费标准的通知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诸发改价〔2015〕86号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关于认真实施《浙江省定价目录》的通知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诸发改价〔2015〕90号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关于核定诸暨市中医医院院内停车场停车服务收费标准的通知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诸发改价〔2015〕95号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关于市职业教育中心举办机械设备安装工等38个工种培训收费标准的批复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诸发改价〔2015〕98号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关于印发《诸暨市工业企业实行差别水价和超计划用水累进加价实施办法（试行）》的通知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诸发改价〔2015〕130号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诸发改价〔2015〕131号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诸发改价〔2015〕132号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关于核定诸暨市人民医院停车场停车服务收费标准的通知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关于市人力资源和社会保障局举办信息化知识和计算机应用能力等培训收费标准的批复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关于公布诸暨市2016年粮食收购政策的通知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诸粮〔2016〕9号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关于市质量技术监督局举办特种设备作业人员培训收费标准的批复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诸发改价〔2016〕18号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关于诸暨技师学院举办人力资源管理员等80个工种理论知识和操作技能培训收费标准的批复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诸发改价〔2016〕86号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关于重新核定浙江海亮教育集团教育收费标准的通知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诸发改价〔2016〕116号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关于调整市店口镇育蕾民工子弟学校学费标准的通知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诸发改价〔2016〕125号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关于核定荷花小学人防工程停车服务收费标准的通知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诸发改价〔2016〕158号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关于市质量技术监督局举办特种设备作业人员培训收费标准的批复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诸发改价〔2017〕2号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49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关于公布诸暨市2017年粮食收购政策的通知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诸粮〔2017〕4号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 诸暨市公共服务中心 诸暨市财政局 诸暨市经济和信息化局 诸暨市民政局关于开展涉企经营服务性收费清理规范工作的实施意见</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诸发改价〔2017〕71号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关于核定市民公园及城市馆地下停车场停车服务收费标准的通知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诸发改价〔2017〕123号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诸发改价〔2017〕124号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关于核定城区道路机动车停放服务收费标准的通知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诸发改价〔2017〕143号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关于公布诸暨市2018年粮食收购政策的通知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诸粮〔2018〕13号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关于诸暨市越兴中学住宿费标准的批复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诸发改价〔2018〕65号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关于调整诸暨市店口镇育蕾民工子弟学校学费标准的批复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诸发改价〔2018〕90号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关于提高非居民生活用天然气销售价格的通知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诸发改价〔2018〕112号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诸发改价〔2019〕39号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59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诸暨市发展和改革局关于城区道路机动车停放服务收费有关事项的通知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诸发改价〔2019〕45号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诸暨市发展和改革局关于城市广场停车场停车服务收费有关事项的通知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诸发改价〔2019〕46号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关于公布诸暨市2019年粮食收购政策的通知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诸发改〔2019〕81号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诸暨市发展和改革局关于阶段性降低企业用水价格有关事项的通知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诸发改价〔2020〕26号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诸暨市发展和改革局关于降低非居民生活用天然气销售价格有关事项的通知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诸发改价〔2020〕33号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关于诸暨市城乡投资集团有限公司机动车停放服务收费标准的批复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诸发改价〔2020〕35号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关于公布诸暨市2020年粮食收购政策的通知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诸发改〔2020〕42号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关于西施大剧院地下停车场机动车停放服务收费标准的批复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诸发改价〔2020〕48号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关于浙江浣江传媒集团有限公司机动车停放服务收费标准的批复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关于诸暨城市馆地下停车场机动车停放服务收费标准的批复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诸发改价〔2020〕72号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69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关于公布诸暨市2021年粮食收购政策的通知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诸发改〔2021〕31号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70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关于公布诸暨市2022年粮食收购政策的通知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诸发改〔2022〕24号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71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关于公布诸暨市2023年粮食收购政策的通知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诸发改〔2023〕20号</w:t>
            </w:r>
          </w:p>
        </w:tc>
      </w:tr>
    </w:tbl>
    <w:p>
      <w:pPr>
        <w:pStyle w:val="2"/>
        <w:spacing w:before="117" w:line="205" w:lineRule="auto"/>
        <w:ind w:left="15"/>
        <w:outlineLvl w:val="0"/>
        <w:rPr>
          <w:rFonts w:hint="eastAsia" w:ascii="仿宋_GB2312" w:hAnsi="仿宋_GB2312" w:eastAsia="仿宋_GB2312" w:cs="仿宋_GB2312"/>
          <w:b/>
          <w:bCs/>
          <w:spacing w:val="-5"/>
          <w:sz w:val="32"/>
          <w:szCs w:val="32"/>
        </w:rPr>
      </w:pPr>
    </w:p>
    <w:p>
      <w:pPr>
        <w:rPr>
          <w:rFonts w:hint="eastAsia" w:ascii="黑体" w:hAnsi="黑体" w:eastAsia="黑体" w:cs="仿宋_GB2312"/>
          <w:sz w:val="32"/>
          <w:szCs w:val="32"/>
          <w:lang w:eastAsia="zh-CN"/>
        </w:rPr>
      </w:pPr>
    </w:p>
    <w:p>
      <w:pPr>
        <w:rPr>
          <w:rFonts w:hint="eastAsia" w:ascii="黑体" w:hAnsi="黑体" w:eastAsia="黑体" w:cs="仿宋_GB2312"/>
          <w:sz w:val="32"/>
          <w:szCs w:val="32"/>
          <w:lang w:eastAsia="zh-CN"/>
        </w:rPr>
      </w:pPr>
    </w:p>
    <w:p>
      <w:pPr>
        <w:rPr>
          <w:rFonts w:hint="eastAsia" w:ascii="黑体" w:hAnsi="黑体" w:eastAsia="黑体" w:cs="仿宋_GB2312"/>
          <w:sz w:val="32"/>
          <w:szCs w:val="32"/>
          <w:lang w:eastAsia="zh-CN"/>
        </w:rPr>
      </w:pPr>
    </w:p>
    <w:p>
      <w:pPr>
        <w:rPr>
          <w:rFonts w:hint="eastAsia" w:ascii="黑体" w:hAnsi="黑体" w:eastAsia="黑体" w:cs="仿宋_GB2312"/>
          <w:sz w:val="32"/>
          <w:szCs w:val="32"/>
          <w:lang w:eastAsia="zh-CN"/>
        </w:rPr>
      </w:pPr>
      <w:bookmarkStart w:id="0" w:name="_GoBack"/>
      <w:bookmarkEnd w:id="0"/>
    </w:p>
    <w:p>
      <w:pPr>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二、继续有效的行政规范性文件</w:t>
      </w:r>
    </w:p>
    <w:tbl>
      <w:tblPr>
        <w:tblStyle w:val="8"/>
        <w:tblW w:w="91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5726"/>
        <w:gridCol w:w="2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56" w:type="dxa"/>
            <w:vAlign w:val="top"/>
          </w:tcPr>
          <w:p>
            <w:pPr>
              <w:pStyle w:val="7"/>
              <w:spacing w:before="132" w:line="217" w:lineRule="auto"/>
              <w:ind w:left="142"/>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序号</w:t>
            </w:r>
          </w:p>
        </w:tc>
        <w:tc>
          <w:tcPr>
            <w:tcW w:w="5726" w:type="dxa"/>
            <w:vAlign w:val="top"/>
          </w:tcPr>
          <w:p>
            <w:pPr>
              <w:pStyle w:val="7"/>
              <w:spacing w:before="132" w:line="219" w:lineRule="auto"/>
              <w:ind w:left="246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9"/>
                <w:sz w:val="21"/>
                <w:szCs w:val="21"/>
              </w:rPr>
              <w:t>题</w:t>
            </w:r>
            <w:r>
              <w:rPr>
                <w:rFonts w:hint="eastAsia" w:ascii="仿宋_GB2312" w:hAnsi="仿宋_GB2312" w:eastAsia="仿宋_GB2312" w:cs="仿宋_GB2312"/>
                <w:b w:val="0"/>
                <w:bCs w:val="0"/>
                <w:spacing w:val="3"/>
                <w:sz w:val="21"/>
                <w:szCs w:val="21"/>
              </w:rPr>
              <w:t xml:space="preserve">  </w:t>
            </w:r>
            <w:r>
              <w:rPr>
                <w:rFonts w:hint="eastAsia" w:ascii="仿宋_GB2312" w:hAnsi="仿宋_GB2312" w:eastAsia="仿宋_GB2312" w:cs="仿宋_GB2312"/>
                <w:b w:val="0"/>
                <w:bCs w:val="0"/>
                <w:spacing w:val="-9"/>
                <w:sz w:val="21"/>
                <w:szCs w:val="21"/>
              </w:rPr>
              <w:t>名</w:t>
            </w:r>
          </w:p>
        </w:tc>
        <w:tc>
          <w:tcPr>
            <w:tcW w:w="2665" w:type="dxa"/>
            <w:vAlign w:val="top"/>
          </w:tcPr>
          <w:p>
            <w:pPr>
              <w:pStyle w:val="7"/>
              <w:spacing w:before="131" w:line="219" w:lineRule="auto"/>
              <w:ind w:left="848"/>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13"/>
                <w:sz w:val="21"/>
                <w:szCs w:val="21"/>
              </w:rPr>
              <w:t>文</w:t>
            </w:r>
            <w:r>
              <w:rPr>
                <w:rFonts w:hint="eastAsia" w:ascii="仿宋_GB2312" w:hAnsi="仿宋_GB2312" w:eastAsia="仿宋_GB2312" w:cs="仿宋_GB2312"/>
                <w:b w:val="0"/>
                <w:bCs w:val="0"/>
                <w:spacing w:val="9"/>
                <w:sz w:val="21"/>
                <w:szCs w:val="21"/>
              </w:rPr>
              <w:t xml:space="preserve">  </w:t>
            </w:r>
            <w:r>
              <w:rPr>
                <w:rFonts w:hint="eastAsia" w:ascii="仿宋_GB2312" w:hAnsi="仿宋_GB2312" w:eastAsia="仿宋_GB2312" w:cs="仿宋_GB2312"/>
                <w:b w:val="0"/>
                <w:bCs w:val="0"/>
                <w:spacing w:val="-13"/>
                <w:sz w:val="21"/>
                <w:szCs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57" w:line="180"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关于核定浙江白塔湖生态旅游开发有限公司快艇包艇（船）价格的通知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诸发改价〔2014〕8号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225" w:line="180"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诸暨市民政局关于加强公共墓地价格管理的通知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诸发改价〔2014〕19号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250" w:line="181"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关于明确公办中等职业学校爱国主义教育和国防教育（军训）代收费标准的补充通知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诸发改价〔2014〕95号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0" w:line="180"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关于核定国际商贸城至店口行政服务中心客运线路票价的通知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诸发改价〔2014〕108号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6"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诸暨市交通运输局关于制定诸暨市城乡公交运（票）价的通知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63" w:line="181"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诸暨市交通运输局关于核定诸暨市城乡公交票价的通知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关于调整非居民生活污水处理费收费标准的通知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诸发改价〔2015〕13号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关于修订《诸暨市养老服务机构收费管理办法》的通知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诸发改价〔2015〕39号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关于核定诸暨力天食品有限公司机械化屠宰中心屠宰服务收费标准的通知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诸发改价〔2015〕81号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关于核定诸暨市大唐镇树德学校收费标准的通知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诸发改价〔2015〕85号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关于核定诸暨市公共墓地使用价格的通知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诸发改价〔2015〕101号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关于实施居民生活用管道天然气阶梯价格制度的通知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诸发改价〔2015〕118号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诸暨市发展和改革局关于公布废止的行政规范性文件的通知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诸发改价〔2015〕125号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关于降低非居民生活用天然气销售价格的通知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诸发改价〔2016〕44号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诸暨市教育局关于调整公办普通高中代收费标准的通知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诸发改价〔2016〕83号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关于重新公布城市公交票价的通知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诸发改价〔2016〕94号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关于调整居民生活污水处理费标准的通知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诸发改价〔2016〕162号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关于转发浙江省财政厅 浙江省物价局关于清理规范一批行政事业性收费有关政策的通知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诸发改价〔2017〕88号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诸暨市教育局 诸暨市财政局 诸暨市民政局关于印发《诸暨市幼儿园收费管理暂行办法》的通知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诸发改价〔2017〕102号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关于调整普通高中住宿费标准的通知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诸发改价〔2018〕64号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诸暨市教育局 诸暨市财政局关于调整公办幼儿园保教费标准的通知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诸发改价〔2018〕67号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诸暨市民政局关于进一步规范殡仪服务收费管理的通知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诸发改价〔2018〕99号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关于调整五泄风景区和西施故里旅游区门票价格的通知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诸发改价〔2018〕121号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24</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关于城区公办小学（幼儿园）放学后校内托管服务收费有关事项的通知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诸发改价〔2019〕24号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25</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诸暨市发展和改革局 诸暨市卫生健康局关于绍兴护士学校收费标准有关事项的批复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诸发改价〔2019〕42号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26</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关于调整诸暨市开放双语实验学校收费标准的批复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诸发改价〔2019〕83号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27</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关于调整海亮教育管理集团有限公司学费标准的批复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诸发改价〔2019〕84号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28</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关于调整诸暨荣怀学校收费标准的批复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诸发改价〔2019〕85号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29</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关于调整诸暨市越兴中学学费标准的批复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诸发改价〔2021〕3号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30</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关于浣东街道龙潭山公墓墓穴使用费有关事项的批复</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诸发改价〔2021〕6号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31</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关于修订《诸暨市机动车停放服务收费管理办法》的通知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诸发改价〔2022〕7号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32</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关于印发《诸暨市非营利性民办学校教育收费管理办法（试行）》的通知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诸发改价〔2022〕9号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56" w:type="dxa"/>
            <w:vAlign w:val="center"/>
          </w:tcPr>
          <w:p>
            <w:pPr>
              <w:pStyle w:val="7"/>
              <w:spacing w:before="180" w:line="178"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33</w:t>
            </w:r>
          </w:p>
        </w:tc>
        <w:tc>
          <w:tcPr>
            <w:tcW w:w="57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关于修订完善非居民管道天然气上下游价格联动机制的通知</w:t>
            </w:r>
          </w:p>
        </w:tc>
        <w:tc>
          <w:tcPr>
            <w:tcW w:w="26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i w:val="0"/>
                <w:iCs w:val="0"/>
                <w:snapToGrid w:val="0"/>
                <w:color w:val="000000"/>
                <w:kern w:val="0"/>
                <w:sz w:val="21"/>
                <w:szCs w:val="21"/>
                <w:u w:val="none"/>
                <w:lang w:val="en-US" w:eastAsia="zh-CN" w:bidi="ar"/>
              </w:rPr>
              <w:t>诸发改价〔2023〕9号</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D1BE"/>
    <w:rsid w:val="261F3434"/>
    <w:rsid w:val="27EA5406"/>
    <w:rsid w:val="2FF90F9F"/>
    <w:rsid w:val="367F0626"/>
    <w:rsid w:val="37A79F1E"/>
    <w:rsid w:val="5BF389F8"/>
    <w:rsid w:val="5FFF1DCD"/>
    <w:rsid w:val="676CF345"/>
    <w:rsid w:val="6CFB2385"/>
    <w:rsid w:val="6FF601AC"/>
    <w:rsid w:val="6FFE2141"/>
    <w:rsid w:val="77CD0903"/>
    <w:rsid w:val="77D70895"/>
    <w:rsid w:val="7BB607D2"/>
    <w:rsid w:val="7EE79F1D"/>
    <w:rsid w:val="7EFF1DFF"/>
    <w:rsid w:val="7F3F98AF"/>
    <w:rsid w:val="7FA75BA9"/>
    <w:rsid w:val="7FCB0A13"/>
    <w:rsid w:val="AB7D2443"/>
    <w:rsid w:val="CB1AA16B"/>
    <w:rsid w:val="D6FD1A3C"/>
    <w:rsid w:val="D77BDC78"/>
    <w:rsid w:val="DFDEF8DC"/>
    <w:rsid w:val="EBF9FA17"/>
    <w:rsid w:val="ED196900"/>
    <w:rsid w:val="EDD70EDA"/>
    <w:rsid w:val="EFFF89AE"/>
    <w:rsid w:val="F5AE4C8B"/>
    <w:rsid w:val="F7DDCEA4"/>
    <w:rsid w:val="F7FED1BE"/>
    <w:rsid w:val="F9CABB49"/>
    <w:rsid w:val="FDDF469A"/>
    <w:rsid w:val="FDF60E40"/>
    <w:rsid w:val="FFECB620"/>
    <w:rsid w:val="FFEDFC0A"/>
    <w:rsid w:val="FFEF58CD"/>
    <w:rsid w:val="FFF6FD45"/>
    <w:rsid w:val="FFF7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2024-06-15T17:04:00Z</dcterms:created>
  <dc:creator>thtf</dc:creator>
  <cp:lastModifiedBy>thtf</cp:lastModifiedBy>
  <dcterms:modified xsi:type="dcterms:W3CDTF">2024-06-14T15:30:52Z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D060B300C9F84B5D1F976B6667593B8B</vt:lpwstr>
  </property>
</Properties>
</file>