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4335145</wp:posOffset>
                </wp:positionH>
                <wp:positionV relativeFrom="paragraph">
                  <wp:posOffset>-1053465</wp:posOffset>
                </wp:positionV>
                <wp:extent cx="1454785" cy="580390"/>
                <wp:effectExtent l="4445" t="5080" r="7620" b="5080"/>
                <wp:wrapNone/>
                <wp:docPr id="1" name="文本框 1"/>
                <wp:cNvGraphicFramePr/>
                <a:graphic xmlns:a="http://schemas.openxmlformats.org/drawingml/2006/main">
                  <a:graphicData uri="http://schemas.microsoft.com/office/word/2010/wordprocessingShape">
                    <wps:wsp>
                      <wps:cNvSpPr txBox="1"/>
                      <wps:spPr>
                        <a:xfrm>
                          <a:off x="0" y="0"/>
                          <a:ext cx="1454785"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宋体" w:hAnsi="宋体" w:eastAsia="宋体"/>
                                <w:sz w:val="30"/>
                                <w:szCs w:val="30"/>
                              </w:rPr>
                            </w:pPr>
                            <w:r>
                              <w:rPr>
                                <w:rFonts w:hint="eastAsia" w:ascii="宋体" w:hAnsi="宋体" w:eastAsia="宋体"/>
                                <w:sz w:val="30"/>
                                <w:szCs w:val="30"/>
                              </w:rPr>
                              <w:t>县政府第</w:t>
                            </w:r>
                            <w:r>
                              <w:rPr>
                                <w:rFonts w:hint="eastAsia" w:ascii="宋体" w:hAnsi="宋体"/>
                                <w:sz w:val="30"/>
                                <w:szCs w:val="30"/>
                                <w:lang w:val="en-US" w:eastAsia="zh-CN"/>
                              </w:rPr>
                              <w:t>XX</w:t>
                            </w:r>
                            <w:r>
                              <w:rPr>
                                <w:rFonts w:hint="eastAsia" w:ascii="宋体" w:hAnsi="宋体" w:eastAsia="宋体"/>
                                <w:sz w:val="30"/>
                                <w:szCs w:val="30"/>
                              </w:rPr>
                              <w:t>次</w:t>
                            </w:r>
                          </w:p>
                          <w:p>
                            <w:pPr>
                              <w:adjustRightInd w:val="0"/>
                              <w:snapToGrid w:val="0"/>
                              <w:jc w:val="center"/>
                              <w:rPr>
                                <w:rFonts w:ascii="宋体" w:hAnsi="宋体" w:eastAsia="宋体"/>
                                <w:sz w:val="30"/>
                                <w:szCs w:val="30"/>
                              </w:rPr>
                            </w:pPr>
                            <w:r>
                              <w:rPr>
                                <w:rFonts w:hint="eastAsia" w:ascii="宋体" w:hAnsi="宋体" w:eastAsia="宋体"/>
                                <w:sz w:val="30"/>
                                <w:szCs w:val="30"/>
                              </w:rPr>
                              <w:t>常务会议材料</w:t>
                            </w:r>
                          </w:p>
                          <w:p/>
                        </w:txbxContent>
                      </wps:txbx>
                      <wps:bodyPr upright="1"/>
                    </wps:wsp>
                  </a:graphicData>
                </a:graphic>
              </wp:anchor>
            </w:drawing>
          </mc:Choice>
          <mc:Fallback>
            <w:pict>
              <v:shape id="_x0000_s1026" o:spid="_x0000_s1026" o:spt="202" type="#_x0000_t202" style="position:absolute;left:0pt;margin-left:341.35pt;margin-top:-82.95pt;height:45.7pt;width:114.55pt;z-index:251659264;mso-width-relative:page;mso-height-relative:page;" fillcolor="#FFFFFF" filled="t" stroked="t" coordsize="21600,21600" o:gfxdata="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KtG3bAAAADAEAAA8AAAAAAAAAAQAg&#10;AAAAIgAAAGRycy9kb3ducmV2LnhtbFBLAQIUABQAAAAIAIdO4kBQ3nZRCwIAADYEAAAOAAAAAAAA&#10;AAEAIAAAACoBAABkcnMvZTJvRG9jLnhtbFBLBQYAAAAABgAGAFkBAACnBQAAAAA=&#10;">
                <v:fill on="t" focussize="0,0"/>
                <v:stroke color="#000000" joinstyle="miter"/>
                <v:imagedata o:title=""/>
                <o:lock v:ext="edit" aspectratio="f"/>
                <v:textbox>
                  <w:txbxContent>
                    <w:p>
                      <w:pPr>
                        <w:adjustRightInd w:val="0"/>
                        <w:snapToGrid w:val="0"/>
                        <w:jc w:val="center"/>
                        <w:rPr>
                          <w:rFonts w:hint="eastAsia" w:ascii="宋体" w:hAnsi="宋体" w:eastAsia="宋体"/>
                          <w:sz w:val="30"/>
                          <w:szCs w:val="30"/>
                        </w:rPr>
                      </w:pPr>
                      <w:r>
                        <w:rPr>
                          <w:rFonts w:hint="eastAsia" w:ascii="宋体" w:hAnsi="宋体" w:eastAsia="宋体"/>
                          <w:sz w:val="30"/>
                          <w:szCs w:val="30"/>
                        </w:rPr>
                        <w:t>县政府第</w:t>
                      </w:r>
                      <w:r>
                        <w:rPr>
                          <w:rFonts w:hint="eastAsia" w:ascii="宋体" w:hAnsi="宋体"/>
                          <w:sz w:val="30"/>
                          <w:szCs w:val="30"/>
                          <w:lang w:val="en-US" w:eastAsia="zh-CN"/>
                        </w:rPr>
                        <w:t>XX</w:t>
                      </w:r>
                      <w:r>
                        <w:rPr>
                          <w:rFonts w:hint="eastAsia" w:ascii="宋体" w:hAnsi="宋体" w:eastAsia="宋体"/>
                          <w:sz w:val="30"/>
                          <w:szCs w:val="30"/>
                        </w:rPr>
                        <w:t>次</w:t>
                      </w:r>
                    </w:p>
                    <w:p>
                      <w:pPr>
                        <w:adjustRightInd w:val="0"/>
                        <w:snapToGrid w:val="0"/>
                        <w:jc w:val="center"/>
                        <w:rPr>
                          <w:rFonts w:ascii="宋体" w:hAnsi="宋体" w:eastAsia="宋体"/>
                          <w:sz w:val="30"/>
                          <w:szCs w:val="30"/>
                        </w:rPr>
                      </w:pPr>
                      <w:r>
                        <w:rPr>
                          <w:rFonts w:hint="eastAsia" w:ascii="宋体" w:hAnsi="宋体" w:eastAsia="宋体"/>
                          <w:sz w:val="30"/>
                          <w:szCs w:val="30"/>
                        </w:rPr>
                        <w:t>常务会议材料</w:t>
                      </w:r>
                    </w:p>
                    <w:p/>
                  </w:txbxContent>
                </v:textbox>
              </v:shape>
            </w:pict>
          </mc:Fallback>
        </mc:AlternateContent>
      </w:r>
      <w:r>
        <w:rPr>
          <w:rFonts w:hint="eastAsia" w:ascii="方正小标宋简体" w:hAnsi="方正小标宋简体" w:eastAsia="方正小标宋简体" w:cs="方正小标宋简体"/>
          <w:sz w:val="44"/>
          <w:szCs w:val="44"/>
          <w:lang w:eastAsia="zh-CN"/>
        </w:rPr>
        <w:t>《关于龙游县六春湖索道客运缆车价格</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rPr>
        <w:t>稿</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pPr>
        <w:pStyle w:val="2"/>
        <w:rPr>
          <w:rFonts w:hint="eastAsia"/>
        </w:rPr>
      </w:pPr>
    </w:p>
    <w:p>
      <w:pPr>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一、六春湖索道基本情况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春湖索道项目位于龙游县西南部庙下乡毛连里村，索道线路为由毛连里村至桃源尖毛竹坑表，线路直线距离3009.37m，高差874m，16个支架，项目概算总投资20217万元，其中索道投资19512万元，索道采用单线循环脱挂抱索器八人吊厢索道，运力1500人/小时，采用奥地利多贝玛亚进口设备，索道上站海拔1302米，是衢州市海拔最高、开发难度最大的项目之一。该索道为国内设备最先进、省内长度最长、高差最大的大索道之一。</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（二）现行价格情况。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六春湖索道自2020年4月28日起实行政府指导价管理，试行最高限价为：成人往返票价200元/人次、上行票价120元/人次、下行票价110元/人次；儿童往返票价100元/人次、上行票价60元/人次、下行票价55元/人次。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（三）试运行情况。六春湖索道建成以来，游客数量平稳增长，市场规模逐渐扩大，</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全年接待游客25670人，实现营收332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2021年全年接待游客67371人，实现营收1200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元；2022年实际接待游客</w:t>
      </w:r>
      <w:r>
        <w:rPr>
          <w:rFonts w:hint="eastAsia" w:ascii="仿宋_GB2312" w:hAnsi="仿宋_GB2312" w:eastAsia="仿宋_GB2312" w:cs="仿宋_GB2312"/>
          <w:sz w:val="32"/>
          <w:szCs w:val="32"/>
          <w:lang w:val="en-US" w:eastAsia="zh-CN"/>
        </w:rPr>
        <w:t>59749</w:t>
      </w:r>
      <w:r>
        <w:rPr>
          <w:rFonts w:hint="eastAsia" w:ascii="仿宋_GB2312" w:hAnsi="仿宋_GB2312" w:eastAsia="仿宋_GB2312" w:cs="仿宋_GB2312"/>
          <w:sz w:val="32"/>
          <w:szCs w:val="32"/>
        </w:rPr>
        <w:t>人，实现营收</w:t>
      </w:r>
      <w:r>
        <w:rPr>
          <w:rFonts w:hint="eastAsia" w:ascii="仿宋_GB2312" w:hAnsi="仿宋_GB2312" w:eastAsia="仿宋_GB2312" w:cs="仿宋_GB2312"/>
          <w:sz w:val="32"/>
          <w:szCs w:val="32"/>
          <w:lang w:val="en-US" w:eastAsia="zh-CN"/>
        </w:rPr>
        <w:t>947.56万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实际接待游客</w:t>
      </w:r>
      <w:r>
        <w:rPr>
          <w:rFonts w:hint="eastAsia" w:ascii="仿宋_GB2312" w:hAnsi="仿宋_GB2312" w:eastAsia="仿宋_GB2312" w:cs="仿宋_GB2312"/>
          <w:sz w:val="32"/>
          <w:szCs w:val="32"/>
          <w:lang w:val="en-US" w:eastAsia="zh-CN"/>
        </w:rPr>
        <w:t>51960</w:t>
      </w:r>
      <w:r>
        <w:rPr>
          <w:rFonts w:hint="eastAsia" w:ascii="仿宋_GB2312" w:hAnsi="仿宋_GB2312" w:eastAsia="仿宋_GB2312" w:cs="仿宋_GB2312"/>
          <w:sz w:val="32"/>
          <w:szCs w:val="32"/>
        </w:rPr>
        <w:t>人，实现营收</w:t>
      </w:r>
      <w:r>
        <w:rPr>
          <w:rFonts w:hint="eastAsia" w:ascii="仿宋_GB2312" w:hAnsi="仿宋_GB2312" w:eastAsia="仿宋_GB2312" w:cs="仿宋_GB2312"/>
          <w:sz w:val="32"/>
          <w:szCs w:val="32"/>
          <w:lang w:val="en-US" w:eastAsia="zh-CN"/>
        </w:rPr>
        <w:t>773.51万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二、索道价格定价依据和理由</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浙江省发展改革委关于印发〈浙江省定价目录（2022年版）〉的通知》（浙发改价格[2022]163号）文件规定：“文化旅游景区辖区内利用公共资源建设的景区（游览参观点）门票价格以及配套交通服务收费，授权市、县人民政府制定”。为此，我县辖区内景区门票制定权限在县级人民政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2020年4月，县六春湖客运索道有限公司向我局提出要求核定六春湖索道价格申请，鉴于该索道属于新建项目，其运营成本数据不完善，我局按照项目可研报告、周边索道价格比价等成本价格调查初步测算，根据《浙江省价格条例》，并经政府（专题会议纪要[2020]31号）同意，按法定程序制定试行价格。经多年试运行，根据《省发改委关于严格落实景区价格管理的通知》（浙发改价格[2021]401号）文件精神，按照补偿合理运营成本 、保持收支总体平衡的原则，我们重新对六春湖索道运行情况进行评估核算，并按景区价格定价程序，重新制定六春湖索道价格。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一直以来，县委县政府对六春湖景区开发非常重视，谋划了以国家级旅游度假区和 5A 级景区建设标准，打造山地运动网红地，构建“春赏花、夏亲水、秋登高、冬玩雪”的四季旅游体系。景区包含1 条山脊步道、5 大体验项目和10 个景观节点。</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以来，上海龙之梦旅业投资集团与浙江六春湖文旅公司签订战略合作协议，项目总投资100亿，分为三个片区，分别是山下主题娱乐片区、山上滑雪场片区和龙之谷片区，六春湖景区项目得到了进一步的提升。六春湖索道又是六春湖景区重要的旅游交通运输服务项目，合理制定六春湖索道价格，有利于六春湖景区的开发和可持续发展。</w:t>
      </w:r>
    </w:p>
    <w:p>
      <w:pPr>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三、六春湖索道成本情况</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经过第三方审计，对浙江六春湖文旅发展有限公司20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年营运成本进行监审，根据以上成本调查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核定定价总成本为</w:t>
      </w:r>
      <w:r>
        <w:rPr>
          <w:rFonts w:hint="eastAsia" w:ascii="仿宋_GB2312" w:eastAsia="仿宋_GB2312"/>
          <w:sz w:val="32"/>
          <w:szCs w:val="32"/>
        </w:rPr>
        <w:t>15,224,611.65</w:t>
      </w:r>
      <w:r>
        <w:rPr>
          <w:rFonts w:hint="eastAsia" w:ascii="仿宋_GB2312" w:hAnsi="仿宋_GB2312" w:eastAsia="仿宋_GB2312" w:cs="仿宋_GB2312"/>
          <w:sz w:val="32"/>
          <w:szCs w:val="32"/>
        </w:rPr>
        <w:t>元，单位定价成本（元/人次）为每人（单次）</w:t>
      </w:r>
      <w:r>
        <w:rPr>
          <w:rFonts w:hint="eastAsia" w:ascii="仿宋_GB2312" w:eastAsia="仿宋_GB2312"/>
          <w:sz w:val="32"/>
          <w:szCs w:val="32"/>
          <w:lang w:val="en-US" w:eastAsia="zh-CN"/>
        </w:rPr>
        <w:t>187.77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注：往返算</w:t>
      </w:r>
      <w:r>
        <w:rPr>
          <w:rFonts w:hint="eastAsia" w:ascii="仿宋_GB2312" w:hAnsi="仿宋_GB2312" w:eastAsia="仿宋_GB2312" w:cs="仿宋_GB2312"/>
          <w:sz w:val="32"/>
          <w:szCs w:val="32"/>
          <w:lang w:val="en-US" w:eastAsia="zh-CN"/>
        </w:rPr>
        <w:t>2次</w:t>
      </w:r>
    </w:p>
    <w:p>
      <w:pPr>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四、拟定价格</w:t>
      </w:r>
    </w:p>
    <w:p>
      <w:pPr>
        <w:spacing w:line="580" w:lineRule="exact"/>
        <w:ind w:firstLine="640" w:firstLineChars="200"/>
        <w:rPr>
          <w:rFonts w:hint="eastAsia"/>
        </w:rPr>
      </w:pPr>
      <w:r>
        <w:rPr>
          <w:rFonts w:hint="eastAsia" w:ascii="仿宋_GB2312" w:hAnsi="仿宋_GB2312" w:eastAsia="仿宋_GB2312" w:cs="仿宋_GB2312"/>
          <w:sz w:val="32"/>
          <w:szCs w:val="32"/>
        </w:rPr>
        <w:t>现以国家有关政策为依据，以我局委托第三方的成本监审报告为基础，按保本微利的原则，充分考虑企业的经营状况和消费者的承受能力，同时比照浙江省内、周边省市配套有索道的各大景区联票票价基础上，</w:t>
      </w:r>
      <w:r>
        <w:rPr>
          <w:rFonts w:hint="eastAsia" w:ascii="仿宋_GB2312" w:eastAsia="仿宋_GB2312"/>
          <w:sz w:val="32"/>
          <w:szCs w:val="32"/>
        </w:rPr>
        <w:t>现拟定索道票价具体方案如下：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六春湖索道客运</w:t>
      </w:r>
      <w:r>
        <w:rPr>
          <w:rFonts w:hint="eastAsia" w:ascii="仿宋_GB2312" w:hAnsi="仿宋_GB2312" w:eastAsia="仿宋_GB2312" w:cs="仿宋_GB2312"/>
          <w:sz w:val="32"/>
          <w:szCs w:val="32"/>
        </w:rPr>
        <w:t>缆车</w:t>
      </w:r>
      <w:r>
        <w:rPr>
          <w:rFonts w:hint="eastAsia" w:ascii="仿宋_GB2312" w:hAnsi="仿宋_GB2312" w:eastAsia="仿宋_GB2312" w:cs="仿宋_GB2312"/>
          <w:bCs/>
          <w:sz w:val="32"/>
          <w:szCs w:val="32"/>
        </w:rPr>
        <w:t>价格，实行</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指导价管理，核定</w:t>
      </w:r>
      <w:r>
        <w:rPr>
          <w:rFonts w:hint="eastAsia" w:ascii="仿宋_GB2312" w:hAnsi="仿宋_GB2312" w:eastAsia="仿宋_GB2312" w:cs="仿宋_GB2312"/>
          <w:bCs/>
          <w:sz w:val="32"/>
          <w:szCs w:val="32"/>
          <w:lang w:eastAsia="zh-CN"/>
        </w:rPr>
        <w:t>最高限价</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淡季（</w:t>
      </w:r>
      <w:r>
        <w:rPr>
          <w:rFonts w:hint="eastAsia" w:ascii="仿宋_GB2312" w:hAnsi="仿宋_GB2312" w:eastAsia="仿宋_GB2312" w:cs="仿宋_GB2312"/>
          <w:bCs/>
          <w:sz w:val="32"/>
          <w:szCs w:val="32"/>
          <w:lang w:val="en-US" w:eastAsia="zh-CN"/>
        </w:rPr>
        <w:t>6-11月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上行价格为每人次</w:t>
      </w:r>
      <w:r>
        <w:rPr>
          <w:rFonts w:hint="eastAsia" w:ascii="仿宋_GB2312" w:hAnsi="仿宋_GB2312" w:eastAsia="仿宋_GB2312" w:cs="仿宋_GB2312"/>
          <w:bCs/>
          <w:sz w:val="32"/>
          <w:szCs w:val="32"/>
          <w:lang w:val="en-US" w:eastAsia="zh-CN"/>
        </w:rPr>
        <w:t>90</w:t>
      </w:r>
      <w:r>
        <w:rPr>
          <w:rFonts w:hint="eastAsia" w:ascii="仿宋_GB2312" w:hAnsi="仿宋_GB2312" w:eastAsia="仿宋_GB2312" w:cs="仿宋_GB2312"/>
          <w:bCs/>
          <w:sz w:val="32"/>
          <w:szCs w:val="32"/>
        </w:rPr>
        <w:t>元，下行价格为每人次</w:t>
      </w:r>
      <w:r>
        <w:rPr>
          <w:rFonts w:hint="eastAsia" w:ascii="仿宋_GB2312" w:hAnsi="仿宋_GB2312" w:eastAsia="仿宋_GB2312" w:cs="仿宋_GB2312"/>
          <w:bCs/>
          <w:sz w:val="32"/>
          <w:szCs w:val="32"/>
          <w:lang w:val="en-US" w:eastAsia="zh-CN"/>
        </w:rPr>
        <w:t>80</w:t>
      </w:r>
      <w:r>
        <w:rPr>
          <w:rFonts w:hint="eastAsia" w:ascii="仿宋_GB2312" w:hAnsi="仿宋_GB2312" w:eastAsia="仿宋_GB2312" w:cs="仿宋_GB2312"/>
          <w:bCs/>
          <w:sz w:val="32"/>
          <w:szCs w:val="32"/>
        </w:rPr>
        <w:t>元，往返全程价格为每人次</w:t>
      </w:r>
      <w:r>
        <w:rPr>
          <w:rFonts w:hint="eastAsia" w:ascii="仿宋_GB2312" w:hAnsi="仿宋_GB2312" w:eastAsia="仿宋_GB2312" w:cs="仿宋_GB2312"/>
          <w:bCs/>
          <w:sz w:val="32"/>
          <w:szCs w:val="32"/>
          <w:lang w:val="en-US" w:eastAsia="zh-CN"/>
        </w:rPr>
        <w:t>158</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；旺季</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12-次年5月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上行价</w:t>
      </w:r>
      <w:r>
        <w:rPr>
          <w:rFonts w:hint="eastAsia" w:ascii="仿宋_GB2312" w:hAnsi="仿宋_GB2312" w:eastAsia="仿宋_GB2312" w:cs="仿宋_GB2312"/>
          <w:bCs/>
          <w:sz w:val="32"/>
          <w:szCs w:val="32"/>
        </w:rPr>
        <w:t>格为每人次120元，下行价格为每人次110元人次，往返全程价格为每人次200元</w:t>
      </w:r>
      <w:r>
        <w:rPr>
          <w:rFonts w:hint="eastAsia" w:ascii="仿宋_GB2312" w:hAnsi="仿宋_GB2312" w:eastAsia="仿宋_GB2312" w:cs="仿宋_GB2312"/>
          <w:bCs/>
          <w:sz w:val="32"/>
          <w:szCs w:val="32"/>
          <w:lang w:eastAsia="zh-CN"/>
        </w:rPr>
        <w:t>。</w:t>
      </w:r>
    </w:p>
    <w:p>
      <w:pPr>
        <w:pStyle w:val="3"/>
        <w:numPr>
          <w:ilvl w:val="0"/>
          <w:numId w:val="1"/>
        </w:numPr>
        <w:shd w:val="clear" w:color="auto" w:fill="FFFFFF"/>
        <w:spacing w:before="0" w:beforeAutospacing="0" w:after="210" w:afterAutospacing="0"/>
        <w:ind w:firstLine="643" w:firstLineChars="200"/>
        <w:jc w:val="both"/>
        <w:rPr>
          <w:rFonts w:hint="eastAsia" w:ascii="仿宋_GB2312" w:hAnsi="仿宋_GB2312" w:eastAsia="仿宋_GB2312" w:cs="仿宋_GB2312"/>
          <w:b/>
          <w:kern w:val="2"/>
          <w:sz w:val="32"/>
          <w:szCs w:val="32"/>
        </w:rPr>
      </w:pPr>
      <w:bookmarkStart w:id="0" w:name="_GoBack"/>
      <w:bookmarkEnd w:id="0"/>
      <w:r>
        <w:rPr>
          <w:rFonts w:hint="eastAsia" w:ascii="仿宋_GB2312" w:hAnsi="仿宋_GB2312" w:eastAsia="仿宋_GB2312" w:cs="仿宋_GB2312"/>
          <w:b/>
          <w:kern w:val="2"/>
          <w:sz w:val="32"/>
          <w:szCs w:val="32"/>
        </w:rPr>
        <w:t xml:space="preserve">考虑因素  </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（一）调查摸底近几年省内外投资同类型进口索道情况定价方案，具体如下表：</w:t>
      </w:r>
    </w:p>
    <w:tbl>
      <w:tblPr>
        <w:tblStyle w:val="4"/>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683"/>
        <w:gridCol w:w="1636"/>
        <w:gridCol w:w="1073"/>
        <w:gridCol w:w="1184"/>
        <w:gridCol w:w="1176"/>
        <w:gridCol w:w="117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序号</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省份</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索道名称</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索道型式</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斜长（米）</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投资额（元）</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单程（元）</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往返（元）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陕西</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华山西峰索道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4211</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3.5亿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140</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湖南</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莽山五指峰索道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3600</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120</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3</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陕西</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太白山天下索道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2907</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1.3亿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120</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4</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安徽</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黄山玉屏索道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2600</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1.4亿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90</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5</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安徽</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九华山天台索道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1196</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85</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6</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湖北</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武当山索道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1500</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1.2亿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90</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32"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7</w:t>
            </w:r>
          </w:p>
        </w:tc>
        <w:tc>
          <w:tcPr>
            <w:tcW w:w="70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山东</w:t>
            </w:r>
          </w:p>
        </w:tc>
        <w:tc>
          <w:tcPr>
            <w:tcW w:w="1803"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泰山桃花源索道</w:t>
            </w:r>
          </w:p>
        </w:tc>
        <w:tc>
          <w:tcPr>
            <w:tcW w:w="115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进口脱挂</w:t>
            </w:r>
          </w:p>
        </w:tc>
        <w:tc>
          <w:tcPr>
            <w:tcW w:w="1185"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1196</w:t>
            </w:r>
          </w:p>
        </w:tc>
        <w:tc>
          <w:tcPr>
            <w:tcW w:w="10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1.3亿</w:t>
            </w:r>
          </w:p>
        </w:tc>
        <w:tc>
          <w:tcPr>
            <w:tcW w:w="989"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100</w:t>
            </w:r>
          </w:p>
        </w:tc>
        <w:tc>
          <w:tcPr>
            <w:tcW w:w="1216" w:type="dxa"/>
            <w:noWrap w:val="0"/>
            <w:vAlign w:val="top"/>
          </w:tcPr>
          <w:p>
            <w:pPr>
              <w:spacing w:line="360" w:lineRule="auto"/>
              <w:rPr>
                <w:rFonts w:hint="eastAsia" w:ascii="仿宋_GB2312" w:eastAsia="仿宋_GB2312"/>
                <w:color w:val="000000"/>
                <w:szCs w:val="21"/>
              </w:rPr>
            </w:pPr>
            <w:r>
              <w:rPr>
                <w:rFonts w:hint="eastAsia" w:ascii="仿宋_GB2312" w:eastAsia="仿宋_GB2312"/>
                <w:color w:val="000000"/>
                <w:szCs w:val="21"/>
              </w:rPr>
              <w:t>200</w:t>
            </w:r>
          </w:p>
        </w:tc>
      </w:tr>
    </w:tbl>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（二）消费者承受能力。索道票价适用范围是本着自愿原则乘坐索道上行或下行至六春湖景区观光的游客，消费者经济承受能力相对较强，但票价不宜制定过高，增加消费者负担；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）市场需求因素 。六春湖景区现已成为我县一个精品景区，2022年6月23日，上海龙之梦旅业投资集团与浙江六春湖文旅公司签订战略合作协议，六春湖景区项目迎来重大更新，索道乘坐需求较大。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春湖景区索道票价格是按照合理盈利的原则确定的，使投资者获得相应的回报渠道，有利于景区经营者进一步扩大资金投入，丰富景区内涵；索道运营在一定范围内带动了相关产业的发展，增加了社会就业岗位，提高了相关从业人员的经济收入，可以直接和间接地促进国有资产增值保值。</w:t>
      </w: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EDC4B"/>
    <w:multiLevelType w:val="singleLevel"/>
    <w:tmpl w:val="2E8EDC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96395"/>
    <w:rsid w:val="0F412658"/>
    <w:rsid w:val="559C1A1C"/>
    <w:rsid w:val="5E99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0"/>
      <w:szCs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2024-09-06T00:58:00Z</dcterms:created>
  <dc:creator>Administrator</dc:creator>
  <cp:lastModifiedBy>Administrator</cp:lastModifiedBy>
  <dcterms:modified xsi:type="dcterms:W3CDTF">2024-09-06T01:02:54Z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