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56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附件5：</w:t>
      </w:r>
    </w:p>
    <w:p>
      <w:pPr>
        <w:spacing w:before="0" w:beforeLines="0" w:after="0" w:afterLines="0" w:line="560" w:lineRule="exact"/>
        <w:jc w:val="center"/>
        <w:rPr>
          <w:rFonts w:hint="eastAsia" w:ascii="方正小标宋_GBK" w:hAnsi="方正小标宋_GBK" w:eastAsia="方正小标宋_GBK" w:cs="方正小标宋_GBK"/>
          <w:b w:val="0"/>
          <w:bCs w:val="0"/>
          <w:sz w:val="44"/>
          <w:szCs w:val="44"/>
        </w:rPr>
      </w:pPr>
      <w:bookmarkStart w:id="1" w:name="_GoBack"/>
      <w:bookmarkEnd w:id="1"/>
    </w:p>
    <w:p>
      <w:pPr>
        <w:spacing w:before="0" w:beforeLines="0" w:after="0" w:afterLines="0" w:line="560" w:lineRule="exact"/>
        <w:jc w:val="center"/>
        <w:rPr>
          <w:rFonts w:ascii="方正小标宋简体" w:hAnsi="宋体" w:eastAsia="方正小标宋简体"/>
          <w:b w:val="0"/>
          <w:bCs w:val="0"/>
          <w:sz w:val="44"/>
          <w:szCs w:val="44"/>
        </w:rPr>
      </w:pPr>
      <w:r>
        <w:rPr>
          <w:rFonts w:hint="eastAsia" w:ascii="方正小标宋_GBK" w:hAnsi="方正小标宋_GBK" w:eastAsia="方正小标宋_GBK" w:cs="方正小标宋_GBK"/>
          <w:b w:val="0"/>
          <w:bCs w:val="0"/>
          <w:sz w:val="44"/>
          <w:szCs w:val="44"/>
        </w:rPr>
        <w:t>建德市产业基金绩效考核管理规则（试行）</w:t>
      </w:r>
    </w:p>
    <w:p>
      <w:pPr>
        <w:spacing w:before="0" w:beforeLines="0" w:after="0" w:afterLines="0" w:line="560" w:lineRule="exact"/>
        <w:jc w:val="both"/>
        <w:rPr>
          <w:rFonts w:hint="eastAsia" w:ascii="黑体" w:hAnsi="黑体" w:eastAsia="黑体"/>
          <w:b w:val="0"/>
          <w:bCs w:val="0"/>
          <w:sz w:val="32"/>
          <w:szCs w:val="32"/>
        </w:rPr>
      </w:pPr>
    </w:p>
    <w:p>
      <w:pPr>
        <w:spacing w:before="0" w:beforeLines="0" w:after="0" w:afterLines="0" w:line="560" w:lineRule="exact"/>
        <w:jc w:val="center"/>
        <w:rPr>
          <w:rFonts w:ascii="黑体" w:hAnsi="黑体" w:eastAsia="黑体"/>
          <w:b w:val="0"/>
          <w:bCs w:val="0"/>
          <w:sz w:val="32"/>
          <w:szCs w:val="32"/>
        </w:rPr>
      </w:pPr>
      <w:r>
        <w:rPr>
          <w:rFonts w:hint="eastAsia" w:ascii="黑体" w:hAnsi="黑体" w:eastAsia="黑体"/>
          <w:b w:val="0"/>
          <w:bCs w:val="0"/>
          <w:sz w:val="32"/>
          <w:szCs w:val="32"/>
        </w:rPr>
        <w:t>第一章  总则</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为切实履行出资人职责，促进建德市产业基金规范高效运营，更好地实现产业基金政策目标，根据《浙江省省产业基金绩效评价管理办法》《建德市产业基金管理办法》等有关规定，结合本市实际，制定本规则。</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本规则所称产业基金包括国资产业发展基金、招商专题基金和政府产业引导基金（以下简称三类基金）及下属子基金。</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本规则所称产业基金绩效考核（以下简称绩效考核）是指根据产业基金的政策目标和管理要求，运用科学、合理的评价指标和评价方法，对基金投资运作过程中的决策指标、过程指标、绩效指标的完成情况进行客观、公正的评价。</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绩效考核遵循以下原则：</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楷体" w:hAnsi="楷体" w:eastAsia="楷体" w:cs="楷体"/>
          <w:b w:val="0"/>
          <w:bCs w:val="0"/>
          <w:sz w:val="32"/>
          <w:szCs w:val="32"/>
        </w:rPr>
        <w:t>（一）科学规范。</w:t>
      </w:r>
      <w:r>
        <w:rPr>
          <w:rFonts w:hint="eastAsia" w:ascii="仿宋_GB2312" w:hAnsi="宋体" w:eastAsia="仿宋_GB2312"/>
          <w:b w:val="0"/>
          <w:bCs w:val="0"/>
          <w:sz w:val="32"/>
          <w:szCs w:val="32"/>
        </w:rPr>
        <w:t>绩效考核应当严格执行规定的程序，按照科学规范的要求，采用定量与定性分析相结合的方法。</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楷体" w:hAnsi="楷体" w:eastAsia="楷体" w:cs="楷体"/>
          <w:b w:val="0"/>
          <w:bCs w:val="0"/>
          <w:sz w:val="32"/>
          <w:szCs w:val="32"/>
        </w:rPr>
        <w:t>（二）公开公正。</w:t>
      </w:r>
      <w:r>
        <w:rPr>
          <w:rFonts w:hint="eastAsia" w:ascii="仿宋_GB2312" w:hAnsi="宋体" w:eastAsia="仿宋_GB2312"/>
          <w:b w:val="0"/>
          <w:bCs w:val="0"/>
          <w:sz w:val="32"/>
          <w:szCs w:val="32"/>
        </w:rPr>
        <w:t>绩效考核应当遵循真实、客观、公正、透明的要求，按规定公开绩效考核结果并接受监督。</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楷体" w:hAnsi="楷体" w:eastAsia="楷体" w:cs="楷体"/>
          <w:b w:val="0"/>
          <w:bCs w:val="0"/>
          <w:sz w:val="32"/>
          <w:szCs w:val="32"/>
        </w:rPr>
        <w:t>（三）分类实施。</w:t>
      </w:r>
      <w:r>
        <w:rPr>
          <w:rFonts w:hint="eastAsia" w:ascii="仿宋_GB2312" w:hAnsi="宋体" w:eastAsia="仿宋_GB2312"/>
          <w:b w:val="0"/>
          <w:bCs w:val="0"/>
          <w:sz w:val="32"/>
          <w:szCs w:val="32"/>
        </w:rPr>
        <w:t>绩效考核应当根据产业基金的类型、特点分别组织实施。</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楷体" w:hAnsi="楷体" w:eastAsia="楷体" w:cs="楷体"/>
          <w:b w:val="0"/>
          <w:bCs w:val="0"/>
          <w:sz w:val="32"/>
          <w:szCs w:val="32"/>
        </w:rPr>
        <w:t>（四）激励约束。</w:t>
      </w:r>
      <w:r>
        <w:rPr>
          <w:rFonts w:hint="eastAsia" w:ascii="仿宋_GB2312" w:hAnsi="宋体" w:eastAsia="仿宋_GB2312"/>
          <w:b w:val="0"/>
          <w:bCs w:val="0"/>
          <w:sz w:val="32"/>
          <w:szCs w:val="32"/>
        </w:rPr>
        <w:t>绩效考核结果与基金规模、预算安排、基金管理费等挂钩，体现奖优罚劣和激励相容导向，充分发挥绩效考核对于统筹推进产业基金投资运作的积极作用。</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绩效考核对象是产业基金，基金管理机构为责任主体。</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绩效考核的主要依据：</w:t>
      </w:r>
    </w:p>
    <w:p>
      <w:pPr>
        <w:spacing w:before="0" w:beforeLines="0" w:after="0" w:afterLines="0" w:line="560" w:lineRule="exact"/>
        <w:ind w:firstLine="640" w:firstLineChars="200"/>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rPr>
        <w:t>（一）国家相关法律法规和规章制度</w:t>
      </w: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rPr>
        <w:t>包括《政府投资基金暂行管理办法》《浙江省省产业基金绩效评价管理办法》《建德市产业基金管理办法》及其配套文件等</w:t>
      </w:r>
      <w:r>
        <w:rPr>
          <w:rFonts w:hint="eastAsia" w:ascii="仿宋_GB2312" w:hAnsi="宋体" w:eastAsia="仿宋_GB2312"/>
          <w:b w:val="0"/>
          <w:bCs w:val="0"/>
          <w:sz w:val="32"/>
          <w:szCs w:val="32"/>
          <w:lang w:eastAsia="zh-CN"/>
        </w:rPr>
        <w:t>。</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（二）基金的委托管理协议、年度投资计划、年度审计报告、年度基金运营报告以及银行托管报告等相关报告。</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（三）基金主管部门对基金管理机构的服务评价文件。</w:t>
      </w:r>
    </w:p>
    <w:p>
      <w:pPr>
        <w:spacing w:before="0" w:beforeLines="0" w:after="0" w:afterLines="0" w:line="560" w:lineRule="exact"/>
        <w:ind w:firstLine="640" w:firstLineChars="200"/>
        <w:rPr>
          <w:rFonts w:ascii="仿宋_GB2312" w:hAnsi="宋体" w:eastAsia="仿宋_GB2312"/>
          <w:b w:val="0"/>
          <w:bCs w:val="0"/>
          <w:sz w:val="32"/>
          <w:szCs w:val="32"/>
        </w:rPr>
      </w:pPr>
    </w:p>
    <w:p>
      <w:pPr>
        <w:spacing w:before="0" w:beforeLines="0" w:after="0" w:afterLines="0" w:line="560" w:lineRule="exact"/>
        <w:jc w:val="center"/>
        <w:rPr>
          <w:rFonts w:ascii="黑体" w:hAnsi="黑体" w:eastAsia="黑体"/>
          <w:b w:val="0"/>
          <w:bCs w:val="0"/>
          <w:sz w:val="32"/>
          <w:szCs w:val="32"/>
        </w:rPr>
      </w:pPr>
      <w:r>
        <w:rPr>
          <w:rFonts w:hint="eastAsia" w:ascii="黑体" w:hAnsi="黑体" w:eastAsia="黑体"/>
          <w:b w:val="0"/>
          <w:bCs w:val="0"/>
          <w:sz w:val="32"/>
          <w:szCs w:val="32"/>
        </w:rPr>
        <w:t>第二章  绩效考核内容和评价指标</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绩效考核的主要内容包括投资目标设定情况、投资相关机制建设情况、投资决策情况、投资运行管理情况、投资绩效情况及其他相关内容。各项考核内容的具体目标通过设定单项指标及评分标准体现。</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绩效考核指标包括决策指标、过程指标、绩效指标三方面一级指标。其中：</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楷体" w:hAnsi="楷体" w:eastAsia="楷体" w:cs="楷体"/>
          <w:b w:val="0"/>
          <w:bCs w:val="0"/>
          <w:sz w:val="32"/>
          <w:szCs w:val="32"/>
        </w:rPr>
        <w:t>（一）决策指标。</w:t>
      </w:r>
      <w:r>
        <w:rPr>
          <w:rFonts w:hint="eastAsia" w:ascii="仿宋_GB2312" w:hAnsi="宋体" w:eastAsia="仿宋_GB2312"/>
          <w:b w:val="0"/>
          <w:bCs w:val="0"/>
          <w:sz w:val="32"/>
          <w:szCs w:val="32"/>
        </w:rPr>
        <w:t>主要评价产业基金投资的政策目标和投资方案是否科学，以及决策效率、决策合规等内容，界定投决部门在项目立项、投资决策、投后管理及退出决策中应承担的绩效责任。</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楷体" w:hAnsi="楷体" w:eastAsia="楷体" w:cs="楷体"/>
          <w:b w:val="0"/>
          <w:bCs w:val="0"/>
          <w:sz w:val="32"/>
          <w:szCs w:val="32"/>
        </w:rPr>
        <w:t>（二）过程指标。</w:t>
      </w:r>
      <w:r>
        <w:rPr>
          <w:rFonts w:hint="eastAsia" w:ascii="仿宋_GB2312" w:hAnsi="宋体" w:eastAsia="仿宋_GB2312"/>
          <w:b w:val="0"/>
          <w:bCs w:val="0"/>
          <w:sz w:val="32"/>
          <w:szCs w:val="32"/>
        </w:rPr>
        <w:t>主要评价产业基金管理制度和投资管理、风控合规、资金管理等内容，界定基金管理机构在产业基金年度计划管理、尽职调查、入股谈判、协议签署、投后管理等过程中应承担的绩效责任。</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楷体" w:hAnsi="楷体" w:eastAsia="楷体" w:cs="楷体"/>
          <w:b w:val="0"/>
          <w:bCs w:val="0"/>
          <w:sz w:val="32"/>
          <w:szCs w:val="32"/>
        </w:rPr>
        <w:t>（三）绩效指标。</w:t>
      </w:r>
      <w:r>
        <w:rPr>
          <w:rFonts w:hint="eastAsia" w:ascii="仿宋_GB2312" w:hAnsi="宋体" w:eastAsia="仿宋_GB2312"/>
          <w:b w:val="0"/>
          <w:bCs w:val="0"/>
          <w:sz w:val="32"/>
          <w:szCs w:val="32"/>
        </w:rPr>
        <w:t>主要评价产业基金政策目标实现、基金保值增值、带动其他资本等内容。</w:t>
      </w:r>
    </w:p>
    <w:p>
      <w:pPr>
        <w:spacing w:before="0" w:beforeLines="0" w:after="0" w:afterLines="0" w:line="560" w:lineRule="exact"/>
        <w:ind w:firstLine="640" w:firstLineChars="200"/>
        <w:rPr>
          <w:rFonts w:ascii="仿宋_GB2312" w:hAnsi="宋体" w:eastAsia="仿宋_GB2312"/>
          <w:b w:val="0"/>
          <w:bCs w:val="0"/>
          <w:sz w:val="32"/>
          <w:szCs w:val="32"/>
        </w:rPr>
      </w:pPr>
    </w:p>
    <w:p>
      <w:pPr>
        <w:spacing w:before="0" w:beforeLines="0" w:after="0" w:afterLines="0" w:line="560" w:lineRule="exact"/>
        <w:jc w:val="center"/>
        <w:rPr>
          <w:rFonts w:ascii="黑体" w:hAnsi="黑体" w:eastAsia="黑体"/>
          <w:b w:val="0"/>
          <w:bCs w:val="0"/>
          <w:sz w:val="32"/>
          <w:szCs w:val="32"/>
        </w:rPr>
      </w:pPr>
      <w:r>
        <w:rPr>
          <w:rFonts w:hint="eastAsia" w:ascii="黑体" w:hAnsi="黑体" w:eastAsia="黑体"/>
          <w:b w:val="0"/>
          <w:bCs w:val="0"/>
          <w:sz w:val="32"/>
          <w:szCs w:val="32"/>
        </w:rPr>
        <w:t>第三章  绩效考核组织实施</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基金管理机构应当先按照本规则先进行自评，形成自评报告。</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绩效考核原则上按会计年度组织实施，并在完成年度基金运营报告和审计报告后实施年度绩效考核。</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各部门应当履行以下职责：</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（一）基金管理机构负责对基金绩效考核的自评工作，形成自评报告；协助基金主管部门或第三方机构收集并核实绩效考核指标数据；协助基金主管部门或第三方机构需要配合的其他工作。</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（二）基金主管部门在自评结果的基础上进行再评价，形成最终考核结果。</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基金主管部门负责制定绩效考核内容和指标；自行或委托第三方机构实施绩效考核再评价工作；跟进绩效考核工作进展，对绩效指标进行评分，撰写绩效考核报告，反馈绩效考核结果，提出绩效改进建议。</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（三）市产业基金投资联席会（以下简称投联会）负责审核绩效考核方案和结果。</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绩效考核工作包括以下阶段。</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楷体" w:hAnsi="楷体" w:eastAsia="楷体" w:cs="楷体"/>
          <w:b w:val="0"/>
          <w:bCs w:val="0"/>
          <w:sz w:val="32"/>
          <w:szCs w:val="32"/>
        </w:rPr>
        <w:t>（一）管理人自评。</w:t>
      </w:r>
      <w:r>
        <w:rPr>
          <w:rFonts w:hint="eastAsia" w:ascii="仿宋_GB2312" w:hAnsi="宋体" w:eastAsia="仿宋_GB2312"/>
          <w:b w:val="0"/>
          <w:bCs w:val="0"/>
          <w:sz w:val="32"/>
          <w:szCs w:val="32"/>
        </w:rPr>
        <w:t>每一会计年度结束后，基金主管部门向基金管理机构下达绩效考核工作通知。基金管理机构按通知要求作好前期准备。</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楷体" w:hAnsi="楷体" w:eastAsia="楷体" w:cs="楷体"/>
          <w:b w:val="0"/>
          <w:bCs w:val="0"/>
          <w:sz w:val="32"/>
          <w:szCs w:val="32"/>
        </w:rPr>
        <w:t>（二）第三方再评价。</w:t>
      </w:r>
      <w:r>
        <w:rPr>
          <w:rFonts w:hint="eastAsia" w:ascii="仿宋_GB2312" w:hAnsi="宋体" w:eastAsia="仿宋_GB2312"/>
          <w:b w:val="0"/>
          <w:bCs w:val="0"/>
          <w:sz w:val="32"/>
          <w:szCs w:val="32"/>
        </w:rPr>
        <w:t>基金管理机构收到绩效考核工作通知后，按本规则实施绩效考核的自评工作，形成自评报告，并报送给基金主管部门。基金主管部门收到自评报告内自行或委托第三方机构开展再评价工作，形成绩效考核结论。</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楷体" w:hAnsi="楷体" w:eastAsia="楷体" w:cs="楷体"/>
          <w:b w:val="0"/>
          <w:bCs w:val="0"/>
          <w:sz w:val="32"/>
          <w:szCs w:val="32"/>
        </w:rPr>
        <w:t>（三）审核及应用。</w:t>
      </w:r>
      <w:r>
        <w:rPr>
          <w:rFonts w:hint="eastAsia" w:ascii="仿宋_GB2312" w:hAnsi="宋体" w:eastAsia="仿宋_GB2312"/>
          <w:b w:val="0"/>
          <w:bCs w:val="0"/>
          <w:sz w:val="32"/>
          <w:szCs w:val="32"/>
        </w:rPr>
        <w:t>形成绩效考核结论后，基金主管部门自行或会同第三方机构出具绩效考核总报告，明确绩效考核结果并反馈给基金管理机构。基金主管部门根据实际情况提出奖惩意见，报送投联会审核，并实施经审定的绩效考核结果。</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绩效考核报告坚持真实性、合法性、完整性的原则。用于形成绩效考核报告的基础资料，由基金管理机构对资料的真实性、完整性等负责。</w:t>
      </w:r>
    </w:p>
    <w:p>
      <w:pPr>
        <w:spacing w:before="0" w:beforeLines="0" w:after="0" w:afterLines="0" w:line="560" w:lineRule="exact"/>
        <w:ind w:firstLine="640" w:firstLineChars="200"/>
        <w:rPr>
          <w:rFonts w:ascii="仿宋_GB2312" w:hAnsi="宋体" w:eastAsia="仿宋_GB2312"/>
          <w:b w:val="0"/>
          <w:bCs w:val="0"/>
          <w:sz w:val="32"/>
          <w:szCs w:val="32"/>
        </w:rPr>
      </w:pPr>
    </w:p>
    <w:p>
      <w:pPr>
        <w:spacing w:before="0" w:beforeLines="0" w:after="0" w:afterLines="0" w:line="560" w:lineRule="exact"/>
        <w:jc w:val="center"/>
        <w:rPr>
          <w:rFonts w:ascii="黑体" w:hAnsi="黑体" w:eastAsia="黑体"/>
          <w:b w:val="0"/>
          <w:bCs w:val="0"/>
          <w:sz w:val="32"/>
          <w:szCs w:val="32"/>
        </w:rPr>
      </w:pPr>
      <w:r>
        <w:rPr>
          <w:rFonts w:hint="eastAsia" w:ascii="黑体" w:hAnsi="黑体" w:eastAsia="黑体"/>
          <w:b w:val="0"/>
          <w:bCs w:val="0"/>
          <w:sz w:val="32"/>
          <w:szCs w:val="32"/>
        </w:rPr>
        <w:t>第四章  绩效考核结果及其应用</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绩效考核满分为100分，最终得分90（含）至100为优；80（含）至90为良；60（含）至80为中；60以下为差。</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在绩效考核中，当发生以下问题时，绩效考核结果评定为“差”：</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（一）产业基金的资金使用和投资运营管理出现严重违法违规行为；</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（二）产业基金的投资进度严重滞后，实缴出资额不足年度投资计划的40％；</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（三）考核年度完成清算退出的子基金中，半数以上返投金额不满足合伙协议或章程约定的；</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（四）经基金主管部门认为应当评定为“差”，并经投联会审议通过的其他事项。</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建立年度绩效考核激励约束机制。</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（一）年度绩效考核结果为“优”的，给予基金管理机构本年度管理费上浮5%的激励；</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（二）年度绩效考核结果为“良”或“中”的，根据相关协议规定的管理费标准，支付管理费，不给予额外奖励；</w:t>
      </w:r>
    </w:p>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（三）年度绩效考核结果为“差”的，扣发基金管理机构下一年度管理费10-40％（含本数），并责令其限期整改，整改完毕后予以发放；</w:t>
      </w:r>
    </w:p>
    <w:p>
      <w:pPr>
        <w:spacing w:before="0" w:beforeLines="0" w:after="0" w:afterLines="0" w:line="560" w:lineRule="exact"/>
        <w:ind w:firstLine="640" w:firstLineChars="200"/>
        <w:rPr>
          <w:rFonts w:ascii="仿宋_GB2312" w:hAnsi="宋体" w:eastAsia="仿宋_GB2312"/>
          <w:b w:val="0"/>
          <w:bCs w:val="0"/>
          <w:sz w:val="32"/>
          <w:szCs w:val="32"/>
        </w:rPr>
      </w:pPr>
      <w:bookmarkStart w:id="0" w:name="_Hlk177220621"/>
      <w:r>
        <w:rPr>
          <w:rFonts w:hint="eastAsia" w:ascii="仿宋_GB2312" w:hAnsi="宋体" w:eastAsia="仿宋_GB2312"/>
          <w:b w:val="0"/>
          <w:bCs w:val="0"/>
          <w:sz w:val="32"/>
          <w:szCs w:val="32"/>
        </w:rPr>
        <w:t>（四）年度绩效考核结果为“差”的，对应基金是分期出资且尚未出资完毕，可以暂缓出资，直至相关绩效指标得到显著改善；</w:t>
      </w:r>
    </w:p>
    <w:bookmarkEnd w:id="0"/>
    <w:p>
      <w:pPr>
        <w:spacing w:before="0" w:beforeLines="0" w:after="0" w:afterLines="0" w:line="560" w:lineRule="exact"/>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（五）连续两年绩效考核结果为“差”的，根据实际情况下调基金管理机构年度管理费标准，保留与基金管理机构解除协议的权利。</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绩效考核结果作为改进基金管理的重要依据。绩效考核结果形成后，基金主管部门向基金管理机构下达通知，基金管理机构按照通知要求提出改进方案，并及时报告基金主管部门。</w:t>
      </w:r>
    </w:p>
    <w:p>
      <w:pPr>
        <w:pStyle w:val="17"/>
        <w:spacing w:before="0" w:beforeLines="0" w:after="0" w:afterLines="0" w:line="560" w:lineRule="exact"/>
        <w:ind w:left="652" w:firstLine="0" w:firstLineChars="0"/>
        <w:rPr>
          <w:rFonts w:ascii="仿宋_GB2312" w:hAnsi="宋体" w:eastAsia="仿宋_GB2312"/>
          <w:b w:val="0"/>
          <w:bCs w:val="0"/>
          <w:sz w:val="32"/>
          <w:szCs w:val="32"/>
        </w:rPr>
      </w:pPr>
    </w:p>
    <w:p>
      <w:pPr>
        <w:spacing w:before="0" w:beforeLines="0" w:after="0" w:afterLines="0" w:line="560" w:lineRule="exact"/>
        <w:jc w:val="center"/>
        <w:rPr>
          <w:rFonts w:ascii="黑体" w:hAnsi="黑体" w:eastAsia="黑体"/>
          <w:b w:val="0"/>
          <w:bCs w:val="0"/>
          <w:sz w:val="32"/>
          <w:szCs w:val="32"/>
        </w:rPr>
      </w:pPr>
      <w:r>
        <w:rPr>
          <w:rFonts w:hint="eastAsia" w:ascii="黑体" w:hAnsi="黑体" w:eastAsia="黑体"/>
          <w:b w:val="0"/>
          <w:bCs w:val="0"/>
          <w:sz w:val="32"/>
          <w:szCs w:val="32"/>
        </w:rPr>
        <w:t>第五章  绩效考核行为规范</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基金主管部门相关人员在绩效考核组织实施工作中，存在以权谋私、滥用职权、玩忽职守、徇私舞弊等违法违纪行为的，依法追究相应责任；涉嫌犯罪的，移交司法机关处理。</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参与绩效考核的中介机构、专家和相关人员，应按照独立、公开、公正的原则开展绩效考核工作，严守职业道德，遵守保密纪律。绩效考核机构与被评价对象不应存在委托之外的其他利益关系。违反上述规定的，视其情节严重情况，予以通报、警告、终止委托合同、取消评价资格等处理。有违法违纪行为的，移交有关部门处理。</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基金管理机构提供虚假数据、采取各种方式干扰绩效考核工作，对绩效考核工作造成严重影响的，予以通报批评，且本年度绩效考核结果认定为“差”。发现违法违规行为的，按照相关法律法规处理。</w:t>
      </w:r>
    </w:p>
    <w:p>
      <w:pPr>
        <w:spacing w:before="0" w:beforeLines="0" w:after="0" w:afterLines="0" w:line="560" w:lineRule="exact"/>
        <w:jc w:val="both"/>
        <w:rPr>
          <w:rFonts w:hint="eastAsia" w:ascii="黑体" w:hAnsi="黑体" w:eastAsia="黑体"/>
          <w:b w:val="0"/>
          <w:bCs w:val="0"/>
          <w:sz w:val="32"/>
          <w:szCs w:val="32"/>
        </w:rPr>
      </w:pPr>
    </w:p>
    <w:p>
      <w:pPr>
        <w:spacing w:before="0" w:beforeLines="0" w:after="0" w:afterLines="0" w:line="560" w:lineRule="exact"/>
        <w:jc w:val="center"/>
        <w:rPr>
          <w:rFonts w:ascii="黑体" w:hAnsi="黑体" w:eastAsia="黑体"/>
          <w:b w:val="0"/>
          <w:bCs w:val="0"/>
          <w:sz w:val="32"/>
          <w:szCs w:val="32"/>
        </w:rPr>
      </w:pPr>
      <w:r>
        <w:rPr>
          <w:rFonts w:hint="eastAsia" w:ascii="黑体" w:hAnsi="黑体" w:eastAsia="黑体"/>
          <w:b w:val="0"/>
          <w:bCs w:val="0"/>
          <w:sz w:val="32"/>
          <w:szCs w:val="32"/>
        </w:rPr>
        <w:t>第六章  附则</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本办法下列用语的含义：</w:t>
      </w:r>
    </w:p>
    <w:p>
      <w:pPr>
        <w:pStyle w:val="17"/>
        <w:spacing w:before="0" w:beforeLines="0" w:after="0" w:afterLines="0" w:line="560" w:lineRule="exact"/>
        <w:ind w:firstLine="640"/>
        <w:rPr>
          <w:rFonts w:ascii="仿宋_GB2312" w:hAnsi="宋体" w:eastAsia="仿宋_GB2312"/>
          <w:b w:val="0"/>
          <w:bCs w:val="0"/>
          <w:sz w:val="32"/>
          <w:szCs w:val="32"/>
        </w:rPr>
      </w:pPr>
      <w:r>
        <w:rPr>
          <w:rFonts w:hint="eastAsia" w:ascii="仿宋_GB2312" w:hAnsi="宋体" w:eastAsia="仿宋_GB2312"/>
          <w:b w:val="0"/>
          <w:bCs w:val="0"/>
          <w:sz w:val="32"/>
          <w:szCs w:val="32"/>
        </w:rPr>
        <w:t>投资联席会，是指建德市政府产业基金投资联席会，是市产业基金重大投资事项的决策机构。</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本规则未尽事宜，依照国家有关法律、法规、规章及其他规范性文件的有关规定执行。</w:t>
      </w:r>
    </w:p>
    <w:p>
      <w:pPr>
        <w:pStyle w:val="17"/>
        <w:numPr>
          <w:ilvl w:val="0"/>
          <w:numId w:val="1"/>
        </w:numPr>
        <w:spacing w:before="0" w:beforeLines="0" w:after="0" w:afterLines="0" w:line="560" w:lineRule="exact"/>
        <w:ind w:firstLineChars="0"/>
        <w:rPr>
          <w:rFonts w:ascii="仿宋_GB2312" w:hAnsi="宋体" w:eastAsia="仿宋_GB2312"/>
          <w:b w:val="0"/>
          <w:bCs w:val="0"/>
          <w:sz w:val="32"/>
          <w:szCs w:val="32"/>
        </w:rPr>
      </w:pPr>
      <w:r>
        <w:rPr>
          <w:rFonts w:hint="eastAsia" w:ascii="仿宋_GB2312" w:hAnsi="宋体" w:eastAsia="仿宋_GB2312"/>
          <w:b w:val="0"/>
          <w:bCs w:val="0"/>
          <w:sz w:val="32"/>
          <w:szCs w:val="32"/>
        </w:rPr>
        <w:t>本规则自印发之日起施行。</w:t>
      </w:r>
    </w:p>
    <w:p>
      <w:pPr>
        <w:spacing w:before="0" w:beforeLines="0" w:after="0" w:afterLines="0" w:line="560" w:lineRule="exact"/>
        <w:rPr>
          <w:rFonts w:ascii="仿宋_GB2312" w:hAnsi="宋体" w:eastAsia="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120" w:after="120"/>
      <w:jc w:val="center"/>
      <w:rPr>
        <w:sz w:val="18"/>
        <w:szCs w:val="18"/>
      </w:rPr>
    </w:pPr>
  </w:p>
  <w:p>
    <w:pPr>
      <w:pStyle w:val="3"/>
      <w:ind w:firstLine="280" w:firstLineChars="100"/>
      <w:rPr>
        <w:rStyle w:val="11"/>
        <w:rFonts w:ascii="宋体" w:hAnsi="宋体" w:eastAsia="宋体"/>
        <w:sz w:val="28"/>
        <w:szCs w:val="28"/>
      </w:rPr>
    </w:pPr>
    <w:r>
      <w:rPr>
        <w:sz w:val="28"/>
      </w:rPr>
      <w:pict>
        <v:shape id="_x0000_s1025"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3"/>
                  <w:ind w:firstLine="280" w:firstLineChars="100"/>
                </w:pPr>
                <w:r>
                  <w:rPr>
                    <w:rStyle w:val="11"/>
                    <w:rFonts w:hint="eastAsia" w:ascii="宋体" w:hAnsi="宋体" w:eastAsia="宋体"/>
                    <w:sz w:val="28"/>
                    <w:szCs w:val="28"/>
                  </w:rPr>
                  <w:t xml:space="preserve">— </w:t>
                </w:r>
                <w:r>
                  <w:rPr>
                    <w:rFonts w:hint="eastAsia" w:ascii="宋体" w:hAnsi="宋体" w:eastAsia="宋体"/>
                    <w:sz w:val="28"/>
                    <w:szCs w:val="28"/>
                  </w:rPr>
                  <w:fldChar w:fldCharType="begin"/>
                </w:r>
                <w:r>
                  <w:rPr>
                    <w:rStyle w:val="11"/>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Style w:val="11"/>
                    <w:rFonts w:ascii="宋体" w:hAnsi="宋体" w:eastAsia="宋体"/>
                    <w:sz w:val="28"/>
                    <w:szCs w:val="28"/>
                  </w:rPr>
                  <w:t>1</w:t>
                </w:r>
                <w:r>
                  <w:rPr>
                    <w:rFonts w:hint="eastAsia" w:ascii="宋体" w:hAnsi="宋体" w:eastAsia="宋体"/>
                    <w:sz w:val="28"/>
                    <w:szCs w:val="28"/>
                  </w:rPr>
                  <w:fldChar w:fldCharType="end"/>
                </w:r>
                <w:r>
                  <w:rPr>
                    <w:rStyle w:val="11"/>
                    <w:rFonts w:hint="eastAsia" w:ascii="宋体" w:hAnsi="宋体" w:eastAsia="宋体"/>
                    <w:sz w:val="28"/>
                    <w:szCs w:val="28"/>
                  </w:rPr>
                  <w:t xml:space="preserve"> —</w:t>
                </w:r>
              </w:p>
            </w:txbxContent>
          </v:textbox>
        </v:shape>
      </w:pict>
    </w:r>
  </w:p>
  <w:p>
    <w:pPr>
      <w:snapToGrid w:val="0"/>
      <w:spacing w:before="120" w:after="12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A72DD2"/>
    <w:multiLevelType w:val="multilevel"/>
    <w:tmpl w:val="37A72DD2"/>
    <w:lvl w:ilvl="0" w:tentative="0">
      <w:start w:val="1"/>
      <w:numFmt w:val="chineseCountingThousand"/>
      <w:suff w:val="space"/>
      <w:lvlText w:val="第%1条 "/>
      <w:lvlJc w:val="left"/>
      <w:pPr>
        <w:ind w:left="0" w:firstLine="652"/>
      </w:pPr>
      <w:rPr>
        <w:rFonts w:hint="eastAsia" w:ascii="楷体" w:eastAsia="楷体"/>
        <w:b/>
        <w:i w:val="0"/>
        <w:sz w:val="32"/>
      </w:rPr>
    </w:lvl>
    <w:lvl w:ilvl="1" w:tentative="0">
      <w:start w:val="1"/>
      <w:numFmt w:val="lowerLetter"/>
      <w:lvlText w:val="%2)"/>
      <w:lvlJc w:val="left"/>
      <w:pPr>
        <w:ind w:left="431" w:firstLine="652"/>
      </w:pPr>
      <w:rPr>
        <w:rFonts w:hint="eastAsia"/>
      </w:rPr>
    </w:lvl>
    <w:lvl w:ilvl="2" w:tentative="0">
      <w:start w:val="1"/>
      <w:numFmt w:val="lowerRoman"/>
      <w:lvlText w:val="%3."/>
      <w:lvlJc w:val="right"/>
      <w:pPr>
        <w:ind w:left="862" w:firstLine="652"/>
      </w:pPr>
      <w:rPr>
        <w:rFonts w:hint="eastAsia"/>
      </w:rPr>
    </w:lvl>
    <w:lvl w:ilvl="3" w:tentative="0">
      <w:start w:val="1"/>
      <w:numFmt w:val="decimal"/>
      <w:lvlText w:val="%4."/>
      <w:lvlJc w:val="left"/>
      <w:pPr>
        <w:ind w:left="1293" w:firstLine="652"/>
      </w:pPr>
      <w:rPr>
        <w:rFonts w:hint="eastAsia"/>
      </w:rPr>
    </w:lvl>
    <w:lvl w:ilvl="4" w:tentative="0">
      <w:start w:val="1"/>
      <w:numFmt w:val="lowerLetter"/>
      <w:lvlText w:val="%5)"/>
      <w:lvlJc w:val="left"/>
      <w:pPr>
        <w:ind w:left="1724" w:firstLine="652"/>
      </w:pPr>
      <w:rPr>
        <w:rFonts w:hint="eastAsia"/>
      </w:rPr>
    </w:lvl>
    <w:lvl w:ilvl="5" w:tentative="0">
      <w:start w:val="1"/>
      <w:numFmt w:val="lowerRoman"/>
      <w:lvlText w:val="%6."/>
      <w:lvlJc w:val="right"/>
      <w:pPr>
        <w:ind w:left="2155" w:firstLine="652"/>
      </w:pPr>
      <w:rPr>
        <w:rFonts w:hint="eastAsia"/>
      </w:rPr>
    </w:lvl>
    <w:lvl w:ilvl="6" w:tentative="0">
      <w:start w:val="1"/>
      <w:numFmt w:val="decimal"/>
      <w:lvlText w:val="%7."/>
      <w:lvlJc w:val="left"/>
      <w:pPr>
        <w:ind w:left="2586" w:firstLine="652"/>
      </w:pPr>
      <w:rPr>
        <w:rFonts w:hint="eastAsia"/>
      </w:rPr>
    </w:lvl>
    <w:lvl w:ilvl="7" w:tentative="0">
      <w:start w:val="1"/>
      <w:numFmt w:val="lowerLetter"/>
      <w:lvlText w:val="%8)"/>
      <w:lvlJc w:val="left"/>
      <w:pPr>
        <w:ind w:left="3017" w:firstLine="652"/>
      </w:pPr>
      <w:rPr>
        <w:rFonts w:hint="eastAsia"/>
      </w:rPr>
    </w:lvl>
    <w:lvl w:ilvl="8" w:tentative="0">
      <w:start w:val="1"/>
      <w:numFmt w:val="lowerRoman"/>
      <w:lvlText w:val="%9."/>
      <w:lvlJc w:val="right"/>
      <w:pPr>
        <w:ind w:left="3448" w:firstLine="65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xODNjMWMxYmNjMGZhMGI2MzZjMWJhNjVlZDlkYjgifQ=="/>
  </w:docVars>
  <w:rsids>
    <w:rsidRoot w:val="00A0196F"/>
    <w:rsid w:val="00003855"/>
    <w:rsid w:val="00042C47"/>
    <w:rsid w:val="00064D22"/>
    <w:rsid w:val="00094F34"/>
    <w:rsid w:val="000E1C3E"/>
    <w:rsid w:val="0012505F"/>
    <w:rsid w:val="00125267"/>
    <w:rsid w:val="001517F2"/>
    <w:rsid w:val="00161B44"/>
    <w:rsid w:val="001775A9"/>
    <w:rsid w:val="001B6AC6"/>
    <w:rsid w:val="001D6424"/>
    <w:rsid w:val="001E4482"/>
    <w:rsid w:val="00271680"/>
    <w:rsid w:val="00273522"/>
    <w:rsid w:val="0027447E"/>
    <w:rsid w:val="00285738"/>
    <w:rsid w:val="002A6942"/>
    <w:rsid w:val="002C289D"/>
    <w:rsid w:val="00413A49"/>
    <w:rsid w:val="0043606F"/>
    <w:rsid w:val="00465916"/>
    <w:rsid w:val="00470C82"/>
    <w:rsid w:val="00475A50"/>
    <w:rsid w:val="004C14F0"/>
    <w:rsid w:val="004D70C8"/>
    <w:rsid w:val="00556348"/>
    <w:rsid w:val="005A6429"/>
    <w:rsid w:val="005D7BFF"/>
    <w:rsid w:val="00600AE8"/>
    <w:rsid w:val="00650B8B"/>
    <w:rsid w:val="006531FB"/>
    <w:rsid w:val="006641E3"/>
    <w:rsid w:val="00767932"/>
    <w:rsid w:val="007A296A"/>
    <w:rsid w:val="007B5028"/>
    <w:rsid w:val="007D4AA2"/>
    <w:rsid w:val="007D4B78"/>
    <w:rsid w:val="0081150D"/>
    <w:rsid w:val="008238C6"/>
    <w:rsid w:val="00863C1F"/>
    <w:rsid w:val="00905149"/>
    <w:rsid w:val="00922C5D"/>
    <w:rsid w:val="00954243"/>
    <w:rsid w:val="00996E15"/>
    <w:rsid w:val="009C311C"/>
    <w:rsid w:val="00A0196F"/>
    <w:rsid w:val="00A02BD8"/>
    <w:rsid w:val="00A06C29"/>
    <w:rsid w:val="00A53D18"/>
    <w:rsid w:val="00A800F2"/>
    <w:rsid w:val="00A84841"/>
    <w:rsid w:val="00AC1EC8"/>
    <w:rsid w:val="00B05677"/>
    <w:rsid w:val="00B50B32"/>
    <w:rsid w:val="00B669D1"/>
    <w:rsid w:val="00B66F7F"/>
    <w:rsid w:val="00BA70D4"/>
    <w:rsid w:val="00C11BEC"/>
    <w:rsid w:val="00C23B92"/>
    <w:rsid w:val="00C52A4F"/>
    <w:rsid w:val="00C86FB8"/>
    <w:rsid w:val="00D079A6"/>
    <w:rsid w:val="00D40D98"/>
    <w:rsid w:val="00D450DF"/>
    <w:rsid w:val="00D57B60"/>
    <w:rsid w:val="00D72B26"/>
    <w:rsid w:val="00D76F43"/>
    <w:rsid w:val="00E0107E"/>
    <w:rsid w:val="00E32179"/>
    <w:rsid w:val="00E446E6"/>
    <w:rsid w:val="00E74356"/>
    <w:rsid w:val="00E958BC"/>
    <w:rsid w:val="00EE6E27"/>
    <w:rsid w:val="00F67587"/>
    <w:rsid w:val="00F8384B"/>
    <w:rsid w:val="00FA0CE7"/>
    <w:rsid w:val="00FC24C6"/>
    <w:rsid w:val="00FF3F43"/>
    <w:rsid w:val="084B47CD"/>
    <w:rsid w:val="189F77F2"/>
    <w:rsid w:val="2E697AE9"/>
    <w:rsid w:val="36887484"/>
    <w:rsid w:val="40E63206"/>
    <w:rsid w:val="51314311"/>
    <w:rsid w:val="61B961C7"/>
    <w:rsid w:val="61F40DCD"/>
    <w:rsid w:val="6B2235E6"/>
    <w:rsid w:val="708C7AE0"/>
    <w:rsid w:val="70BF7006"/>
    <w:rsid w:val="7F777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360" w:lineRule="auto"/>
      <w:jc w:val="both"/>
    </w:pPr>
    <w:rPr>
      <w:rFonts w:ascii="Times New Roman" w:hAnsi="Times New Roman" w:eastAsia="宋体" w:cstheme="minorBidi"/>
      <w:kern w:val="2"/>
      <w:sz w:val="24"/>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footer"/>
    <w:basedOn w:val="1"/>
    <w:link w:val="15"/>
    <w:qFormat/>
    <w:uiPriority w:val="0"/>
    <w:pPr>
      <w:tabs>
        <w:tab w:val="center" w:pos="4153"/>
        <w:tab w:val="right" w:pos="8306"/>
      </w:tabs>
      <w:snapToGrid w:val="0"/>
      <w:spacing w:before="0" w:beforeLines="0" w:after="0" w:afterLines="0" w:line="240" w:lineRule="auto"/>
      <w:jc w:val="left"/>
    </w:pPr>
    <w:rPr>
      <w:rFonts w:eastAsia="黑体" w:cs="Times New Roman"/>
      <w:snapToGrid w:val="0"/>
      <w:kern w:val="0"/>
      <w:sz w:val="18"/>
      <w:szCs w:val="18"/>
    </w:rPr>
  </w:style>
  <w:style w:type="paragraph" w:styleId="4">
    <w:name w:val="header"/>
    <w:basedOn w:val="1"/>
    <w:link w:val="16"/>
    <w:unhideWhenUsed/>
    <w:qFormat/>
    <w:uiPriority w:val="99"/>
    <w:pPr>
      <w:tabs>
        <w:tab w:val="center" w:pos="4153"/>
        <w:tab w:val="right" w:pos="8306"/>
      </w:tabs>
      <w:snapToGrid w:val="0"/>
      <w:spacing w:line="240" w:lineRule="auto"/>
      <w:jc w:val="center"/>
    </w:pPr>
    <w:rPr>
      <w:sz w:val="18"/>
      <w:szCs w:val="18"/>
    </w:rPr>
  </w:style>
  <w:style w:type="paragraph" w:styleId="5">
    <w:name w:val="Normal (Web)"/>
    <w:basedOn w:val="1"/>
    <w:semiHidden/>
    <w:unhideWhenUsed/>
    <w:qFormat/>
    <w:uiPriority w:val="99"/>
    <w:pPr>
      <w:widowControl/>
      <w:spacing w:before="100" w:beforeLines="0" w:beforeAutospacing="1" w:after="100" w:afterLines="0" w:afterAutospacing="1" w:line="240" w:lineRule="auto"/>
      <w:jc w:val="left"/>
    </w:pPr>
    <w:rPr>
      <w:rFonts w:ascii="宋体" w:hAnsi="宋体" w:cs="宋体"/>
      <w:kern w:val="0"/>
      <w:szCs w:val="24"/>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annotation reference"/>
    <w:basedOn w:val="9"/>
    <w:semiHidden/>
    <w:unhideWhenUsed/>
    <w:qFormat/>
    <w:uiPriority w:val="99"/>
    <w:rPr>
      <w:sz w:val="21"/>
      <w:szCs w:val="21"/>
    </w:rPr>
  </w:style>
  <w:style w:type="character" w:customStyle="1" w:styleId="13">
    <w:name w:val="批注文字 字符"/>
    <w:basedOn w:val="9"/>
    <w:link w:val="2"/>
    <w:qFormat/>
    <w:uiPriority w:val="99"/>
    <w:rPr>
      <w:rFonts w:ascii="Times New Roman" w:hAnsi="Times New Roman" w:eastAsia="宋体"/>
      <w:sz w:val="24"/>
    </w:rPr>
  </w:style>
  <w:style w:type="character" w:customStyle="1" w:styleId="14">
    <w:name w:val="批注主题 字符"/>
    <w:basedOn w:val="13"/>
    <w:link w:val="6"/>
    <w:semiHidden/>
    <w:qFormat/>
    <w:uiPriority w:val="99"/>
    <w:rPr>
      <w:rFonts w:ascii="Times New Roman" w:hAnsi="Times New Roman" w:eastAsia="宋体"/>
      <w:b/>
      <w:bCs/>
      <w:sz w:val="24"/>
    </w:rPr>
  </w:style>
  <w:style w:type="character" w:customStyle="1" w:styleId="15">
    <w:name w:val="页脚 字符"/>
    <w:basedOn w:val="9"/>
    <w:link w:val="3"/>
    <w:qFormat/>
    <w:uiPriority w:val="0"/>
    <w:rPr>
      <w:rFonts w:ascii="Times New Roman" w:hAnsi="Times New Roman" w:eastAsia="黑体" w:cs="Times New Roman"/>
      <w:snapToGrid w:val="0"/>
      <w:kern w:val="0"/>
      <w:sz w:val="18"/>
      <w:szCs w:val="18"/>
    </w:rPr>
  </w:style>
  <w:style w:type="character" w:customStyle="1" w:styleId="16">
    <w:name w:val="页眉 字符"/>
    <w:basedOn w:val="9"/>
    <w:link w:val="4"/>
    <w:qFormat/>
    <w:uiPriority w:val="99"/>
    <w:rPr>
      <w:rFonts w:ascii="Times New Roman" w:hAnsi="Times New Roman" w:eastAsia="宋体"/>
      <w:kern w:val="2"/>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2708</Words>
  <Characters>2724</Characters>
  <Lines>19</Lines>
  <Paragraphs>5</Paragraphs>
  <TotalTime>1</TotalTime>
  <ScaleCrop>false</ScaleCrop>
  <LinksUpToDate>false</LinksUpToDate>
  <CharactersWithSpaces>2736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2024-09-24T08:42:00Z</dcterms:created>
  <dc:creator>grandall</dc:creator>
  <cp:lastModifiedBy>章磊</cp:lastModifiedBy>
  <dcterms:modified xsi:type="dcterms:W3CDTF">2024-10-14T10:25:21Z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2CA1A3D5656241F9929AA3EA679988AF_12</vt:lpwstr>
  </property>
</Properties>
</file>