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pacing w:val="-6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6"/>
          <w:sz w:val="36"/>
          <w:szCs w:val="36"/>
        </w:rPr>
        <w:t>杭州高新区（滨江）促进家电消费的政策实施细则</w:t>
      </w:r>
    </w:p>
    <w:p>
      <w:pPr>
        <w:snapToGrid w:val="0"/>
        <w:spacing w:line="58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-6"/>
          <w:sz w:val="36"/>
          <w:szCs w:val="36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pacing w:val="-6"/>
          <w:sz w:val="36"/>
          <w:szCs w:val="36"/>
          <w:lang w:val="en-US" w:eastAsia="zh-CN"/>
        </w:rPr>
        <w:t>征求意见稿</w:t>
      </w:r>
      <w:r>
        <w:rPr>
          <w:rFonts w:hint="eastAsia" w:ascii="方正小标宋简体" w:hAnsi="Times New Roman" w:eastAsia="方正小标宋简体" w:cs="Times New Roman"/>
          <w:spacing w:val="-6"/>
          <w:sz w:val="36"/>
          <w:szCs w:val="36"/>
          <w:lang w:eastAsia="zh-CN"/>
        </w:rPr>
        <w:t>）</w:t>
      </w:r>
    </w:p>
    <w:p>
      <w:pPr>
        <w:snapToGrid w:val="0"/>
        <w:spacing w:line="580" w:lineRule="exact"/>
        <w:ind w:firstLine="640" w:firstLineChars="200"/>
        <w:jc w:val="left"/>
        <w:rPr>
          <w:rFonts w:ascii="Times New Roman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为贯彻落实国家、省、市关于推动消费品以旧换新的决策部署，进一步释放我区绿色智能家电消费潜力，促进家电以旧换新和节能减排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，特制定如下政策细则。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left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一、政策内容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滨江区</w:t>
      </w:r>
      <w:r>
        <w:rPr>
          <w:rFonts w:hint="eastAsia" w:ascii="Times New Roman" w:hAnsi="仿宋_GB2312" w:eastAsia="仿宋_GB2312" w:cs="Times New Roman"/>
          <w:sz w:val="32"/>
          <w:szCs w:val="32"/>
        </w:rPr>
        <w:t>开展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2024年度第一轮</w:t>
      </w:r>
      <w:r>
        <w:rPr>
          <w:rFonts w:hint="eastAsia" w:ascii="Times New Roman" w:hAnsi="仿宋_GB2312" w:eastAsia="仿宋_GB2312" w:cs="Times New Roman"/>
          <w:sz w:val="32"/>
          <w:szCs w:val="32"/>
        </w:rPr>
        <w:t>家电补贴活动，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补贴金额600</w:t>
      </w:r>
      <w:r>
        <w:rPr>
          <w:rFonts w:hint="eastAsia" w:ascii="Times New Roman" w:hAnsi="仿宋_GB2312" w:eastAsia="仿宋_GB2312" w:cs="Times New Roman"/>
          <w:sz w:val="32"/>
          <w:szCs w:val="32"/>
        </w:rPr>
        <w:t>万元</w:t>
      </w:r>
      <w:r>
        <w:rPr>
          <w:rFonts w:ascii="Times New Roman" w:hAnsi="仿宋_GB2312" w:eastAsia="仿宋_GB2312" w:cs="Times New Roman"/>
          <w:sz w:val="32"/>
          <w:szCs w:val="32"/>
        </w:rPr>
        <w:t>，消费者（个人）到</w:t>
      </w:r>
      <w:r>
        <w:rPr>
          <w:rFonts w:hint="eastAsia" w:ascii="Times New Roman" w:hAnsi="仿宋_GB2312" w:eastAsia="仿宋_GB2312" w:cs="Times New Roman"/>
          <w:sz w:val="32"/>
          <w:szCs w:val="32"/>
        </w:rPr>
        <w:t>区内家电零售企业</w:t>
      </w:r>
      <w:r>
        <w:rPr>
          <w:rFonts w:ascii="Times New Roman" w:hAnsi="仿宋_GB2312" w:eastAsia="仿宋_GB2312" w:cs="Times New Roman"/>
          <w:sz w:val="32"/>
          <w:szCs w:val="32"/>
        </w:rPr>
        <w:t>购买</w:t>
      </w:r>
      <w:r>
        <w:rPr>
          <w:rFonts w:hint="eastAsia" w:ascii="Times New Roman" w:hAnsi="仿宋_GB2312" w:eastAsia="仿宋_GB2312" w:cs="Times New Roman"/>
          <w:sz w:val="32"/>
          <w:szCs w:val="32"/>
        </w:rPr>
        <w:t>若干符合条件的补贴产品</w:t>
      </w:r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按照剔除所有折扣优惠后成交价格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含税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仿宋_GB2312" w:eastAsia="仿宋_GB2312" w:cs="Times New Roman"/>
          <w:sz w:val="32"/>
          <w:szCs w:val="32"/>
        </w:rPr>
        <w:t>的一定比例享受立减补贴</w:t>
      </w:r>
      <w:r>
        <w:rPr>
          <w:rFonts w:ascii="Times New Roman" w:hAnsi="仿宋_GB2312" w:eastAsia="仿宋_GB2312" w:cs="Times New Roman"/>
          <w:sz w:val="32"/>
          <w:szCs w:val="32"/>
        </w:rPr>
        <w:t>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单笔订单补贴额最高不超过1000元，</w:t>
      </w:r>
      <w:r>
        <w:rPr>
          <w:rFonts w:ascii="Times New Roman" w:hAnsi="仿宋_GB2312" w:eastAsia="仿宋_GB2312" w:cs="Times New Roman"/>
          <w:sz w:val="32"/>
          <w:szCs w:val="32"/>
        </w:rPr>
        <w:t>先到先得，兑完即止。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left"/>
        <w:textAlignment w:val="auto"/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</w:rPr>
        <w:t>二、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补贴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</w:rPr>
        <w:t>产品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仿宋_GB2312" w:eastAsia="仿宋_GB2312" w:cs="Times New Roman"/>
          <w:sz w:val="32"/>
          <w:szCs w:val="32"/>
        </w:rPr>
        <w:t>智能家电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产品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：空调、冰箱、洗衣机、电视机、吸油烟机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灶具、</w:t>
      </w:r>
      <w:r>
        <w:rPr>
          <w:rFonts w:hint="eastAsia" w:ascii="Times New Roman" w:hAnsi="仿宋_GB2312" w:eastAsia="仿宋_GB2312" w:cs="Times New Roman"/>
          <w:sz w:val="32"/>
          <w:szCs w:val="32"/>
        </w:rPr>
        <w:t>热水器、洗碗机、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计算机、打印机、</w:t>
      </w:r>
      <w:r>
        <w:rPr>
          <w:rFonts w:hint="eastAsia" w:ascii="Times New Roman" w:hAnsi="仿宋_GB2312" w:eastAsia="仿宋_GB2312" w:cs="Times New Roman"/>
          <w:sz w:val="32"/>
          <w:szCs w:val="32"/>
        </w:rPr>
        <w:t>空气净化器、电饭煲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仿宋_GB2312" w:eastAsia="仿宋_GB2312" w:cs="Times New Roman"/>
          <w:sz w:val="32"/>
          <w:szCs w:val="32"/>
        </w:rPr>
        <w:t>微波炉、电磁炉、电风扇、净水机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仿宋_GB2312" w:eastAsia="仿宋_GB2312" w:cs="Times New Roman"/>
          <w:sz w:val="32"/>
          <w:szCs w:val="32"/>
        </w:rPr>
        <w:t>。以上产品均须达到一级能效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水效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仿宋_GB2312" w:eastAsia="仿宋_GB2312" w:cs="Times New Roman"/>
          <w:sz w:val="32"/>
          <w:szCs w:val="32"/>
        </w:rPr>
        <w:t>且具有统一的国际13位商品编码。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highlight w:val="none"/>
        </w:rPr>
      </w:pPr>
      <w:r>
        <w:rPr>
          <w:rFonts w:hint="eastAsia" w:ascii="Times New Roman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2.其他产品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仿宋_GB2312" w:eastAsia="仿宋_GB2312" w:cs="Times New Roman"/>
          <w:sz w:val="32"/>
          <w:szCs w:val="32"/>
          <w:highlight w:val="none"/>
          <w:lang w:val="en-US" w:eastAsia="zh-CN"/>
        </w:rPr>
        <w:t>智能家用监控设备、智能门锁、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highlight w:val="none"/>
        </w:rPr>
        <w:t>智能手机、平板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电脑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highlight w:val="none"/>
        </w:rPr>
        <w:t>、投影仪、智能学习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highlight w:val="none"/>
        </w:rPr>
        <w:t>、智能美容仪</w:t>
      </w:r>
      <w:r>
        <w:rPr>
          <w:rFonts w:hint="eastAsia" w:ascii="Times New Roman" w:hAnsi="仿宋_GB2312" w:eastAsia="仿宋_GB2312" w:cs="Times New Roman"/>
          <w:sz w:val="32"/>
          <w:szCs w:val="32"/>
          <w:highlight w:val="none"/>
        </w:rPr>
        <w:t>、电蒸箱（含蒸烤一体机）、多功能料理机（含智能炒菜机器人）、扫拖机器人</w:t>
      </w:r>
      <w:r>
        <w:rPr>
          <w:rFonts w:hint="eastAsia" w:ascii="Times New Roman" w:hAnsi="仿宋_GB2312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（该类目商品补贴活动根据区内有关情况适时推出）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left"/>
        <w:textAlignment w:val="auto"/>
        <w:rPr>
          <w:rFonts w:hint="eastAsia" w:ascii="Times New Roman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单笔成交</w:t>
      </w:r>
      <w:r>
        <w:rPr>
          <w:rFonts w:hint="eastAsia" w:ascii="Times New Roman" w:hAnsi="仿宋_GB2312" w:eastAsia="仿宋_GB2312" w:cs="Times New Roman"/>
          <w:sz w:val="32"/>
          <w:szCs w:val="32"/>
        </w:rPr>
        <w:t>价格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300</w:t>
      </w:r>
      <w:r>
        <w:rPr>
          <w:rFonts w:ascii="Times New Roman" w:hAnsi="仿宋_GB2312" w:eastAsia="仿宋_GB2312" w:cs="Times New Roman"/>
          <w:sz w:val="32"/>
          <w:szCs w:val="32"/>
        </w:rPr>
        <w:t>元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以上的</w:t>
      </w:r>
      <w:r>
        <w:rPr>
          <w:rFonts w:ascii="Times New Roman" w:hAnsi="仿宋_GB2312" w:eastAsia="仿宋_GB2312" w:cs="Times New Roman"/>
          <w:sz w:val="32"/>
          <w:szCs w:val="32"/>
        </w:rPr>
        <w:t>（含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300</w:t>
      </w:r>
      <w:r>
        <w:rPr>
          <w:rFonts w:ascii="Times New Roman" w:hAnsi="仿宋_GB2312" w:eastAsia="仿宋_GB2312" w:cs="Times New Roman"/>
          <w:sz w:val="32"/>
          <w:szCs w:val="32"/>
        </w:rPr>
        <w:t>元），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按成交价格（含税）的10%予以</w:t>
      </w:r>
      <w:r>
        <w:rPr>
          <w:rFonts w:ascii="Times New Roman" w:hAnsi="仿宋_GB2312" w:eastAsia="仿宋_GB2312" w:cs="Times New Roman"/>
          <w:sz w:val="32"/>
          <w:szCs w:val="32"/>
        </w:rPr>
        <w:t>补贴；</w:t>
      </w:r>
      <w:r>
        <w:rPr>
          <w:rFonts w:hint="eastAsia" w:ascii="Times New Roman" w:hAnsi="仿宋_GB2312" w:eastAsia="仿宋_GB2312" w:cs="Times New Roman"/>
          <w:sz w:val="32"/>
          <w:szCs w:val="32"/>
        </w:rPr>
        <w:t>单笔订单补贴额最高不超过1000元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lang w:val="en-US" w:eastAsia="zh-CN"/>
        </w:rPr>
        <w:t>活动期间，单人在单家企业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最多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1次立减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left"/>
        <w:textAlignment w:val="auto"/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</w:rPr>
        <w:t>参与企业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eastAsia="仿宋_GB231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家电零售</w:t>
      </w:r>
      <w:r>
        <w:rPr>
          <w:rFonts w:ascii="Times New Roman" w:hAnsi="仿宋_GB2312" w:eastAsia="仿宋_GB2312" w:cs="Times New Roman"/>
          <w:sz w:val="32"/>
          <w:szCs w:val="32"/>
        </w:rPr>
        <w:t>企业指在滨江区注册并纳入社零统计、具有独立法人资格的，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涉及家电</w:t>
      </w:r>
      <w:r>
        <w:rPr>
          <w:rFonts w:ascii="Times New Roman" w:hAnsi="仿宋_GB2312" w:eastAsia="仿宋_GB2312" w:cs="Times New Roman"/>
          <w:sz w:val="32"/>
          <w:szCs w:val="32"/>
        </w:rPr>
        <w:t>零售业务的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线上、线下</w:t>
      </w:r>
      <w:r>
        <w:rPr>
          <w:rFonts w:ascii="Times New Roman" w:hAnsi="仿宋_GB2312" w:eastAsia="仿宋_GB2312" w:cs="Times New Roman"/>
          <w:sz w:val="32"/>
          <w:szCs w:val="32"/>
        </w:rPr>
        <w:t>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left"/>
        <w:textAlignment w:val="auto"/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202</w:t>
      </w:r>
      <w:r>
        <w:rPr>
          <w:rFonts w:hint="eastAsia" w:ascii="Times New Roman" w:hAnsi="仿宋_GB2312" w:eastAsia="仿宋_GB2312" w:cs="Times New Roman"/>
          <w:sz w:val="32"/>
          <w:szCs w:val="32"/>
        </w:rPr>
        <w:t>4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sz w:val="32"/>
          <w:szCs w:val="32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</w:rPr>
        <w:t>20日至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仿宋_GB2312" w:eastAsia="仿宋_GB2312" w:cs="Times New Roman"/>
          <w:sz w:val="32"/>
          <w:szCs w:val="32"/>
        </w:rPr>
        <w:t>日，资金额度用完即止</w:t>
      </w:r>
      <w:r>
        <w:rPr>
          <w:rFonts w:ascii="Times New Roman" w:hAnsi="仿宋_GB2312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left"/>
        <w:textAlignment w:val="auto"/>
        <w:rPr>
          <w:rFonts w:hint="default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六、发放安排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left"/>
        <w:textAlignment w:val="auto"/>
        <w:rPr>
          <w:rFonts w:hint="default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活动期间，线上企业和线下企业分别执行，可申领补贴总额度各为300万元。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left"/>
        <w:textAlignment w:val="auto"/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七、补贴申领流程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1.</w:t>
      </w:r>
      <w:r>
        <w:rPr>
          <w:rFonts w:ascii="Times New Roman" w:hAnsi="仿宋_GB2312" w:eastAsia="仿宋_GB2312" w:cs="Times New Roman"/>
          <w:sz w:val="32"/>
          <w:szCs w:val="32"/>
        </w:rPr>
        <w:t>补贴申报</w:t>
      </w:r>
      <w:r>
        <w:rPr>
          <w:rFonts w:hint="eastAsia" w:ascii="Times New Roman" w:hAnsi="仿宋_GB2312" w:eastAsia="仿宋_GB2312" w:cs="Times New Roman"/>
          <w:sz w:val="32"/>
          <w:szCs w:val="32"/>
        </w:rPr>
        <w:t>及审核流程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由家电零售</w:t>
      </w:r>
      <w:r>
        <w:rPr>
          <w:rFonts w:ascii="Times New Roman" w:hAnsi="仿宋_GB2312" w:eastAsia="仿宋_GB2312" w:cs="Times New Roman"/>
          <w:sz w:val="32"/>
          <w:szCs w:val="32"/>
        </w:rPr>
        <w:t>企业将消费者</w:t>
      </w:r>
      <w:r>
        <w:rPr>
          <w:rFonts w:hint="eastAsia" w:ascii="Times New Roman" w:hAnsi="仿宋_GB2312" w:eastAsia="仿宋_GB2312" w:cs="Times New Roman"/>
          <w:sz w:val="32"/>
          <w:szCs w:val="32"/>
        </w:rPr>
        <w:t>所购产品相关</w:t>
      </w:r>
      <w:r>
        <w:rPr>
          <w:rFonts w:ascii="Times New Roman" w:hAnsi="仿宋_GB2312" w:eastAsia="仿宋_GB2312" w:cs="Times New Roman"/>
          <w:sz w:val="32"/>
          <w:szCs w:val="32"/>
        </w:rPr>
        <w:t>信息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（含产品类别、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商品型号、</w:t>
      </w:r>
      <w:r>
        <w:rPr>
          <w:rFonts w:hint="eastAsia" w:ascii="Times New Roman" w:hAnsi="仿宋_GB2312" w:eastAsia="仿宋_GB2312" w:cs="Times New Roman"/>
          <w:sz w:val="32"/>
          <w:szCs w:val="32"/>
        </w:rPr>
        <w:t>国标13位商品编码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仿宋_GB2312" w:eastAsia="仿宋_GB2312" w:cs="Times New Roman"/>
          <w:sz w:val="32"/>
          <w:szCs w:val="32"/>
        </w:rPr>
        <w:t>补贴金额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订单截图、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lang w:val="en-US" w:eastAsia="zh-CN"/>
        </w:rPr>
        <w:t>消费者姓名、身份证号码、联系电话</w:t>
      </w:r>
      <w:r>
        <w:rPr>
          <w:rFonts w:hint="eastAsia" w:ascii="Times New Roman" w:hAnsi="仿宋_GB2312" w:eastAsia="仿宋_GB2312" w:cs="Times New Roman"/>
          <w:sz w:val="32"/>
          <w:szCs w:val="32"/>
        </w:rPr>
        <w:t>和发票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sz w:val="32"/>
          <w:szCs w:val="32"/>
        </w:rPr>
        <w:t>提交至</w:t>
      </w:r>
      <w:r>
        <w:rPr>
          <w:rFonts w:hint="eastAsia" w:ascii="Times New Roman" w:hAnsi="仿宋_GB2312" w:eastAsia="仿宋_GB2312" w:cs="Times New Roman"/>
          <w:sz w:val="32"/>
          <w:szCs w:val="32"/>
        </w:rPr>
        <w:t>补贴</w:t>
      </w:r>
      <w:r>
        <w:rPr>
          <w:rFonts w:ascii="Times New Roman" w:hAnsi="仿宋_GB2312" w:eastAsia="仿宋_GB2312" w:cs="Times New Roman"/>
          <w:sz w:val="32"/>
          <w:szCs w:val="32"/>
        </w:rPr>
        <w:t>平台进行申报；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滨江</w:t>
      </w:r>
      <w:r>
        <w:rPr>
          <w:rFonts w:ascii="Times New Roman" w:hAnsi="仿宋_GB2312" w:eastAsia="仿宋_GB2312" w:cs="Times New Roman"/>
          <w:sz w:val="32"/>
          <w:szCs w:val="32"/>
        </w:rPr>
        <w:t>区商务局按照申报时间先后顺序确定补贴名额</w:t>
      </w:r>
      <w:r>
        <w:rPr>
          <w:rFonts w:hint="eastAsia" w:ascii="Times New Roman" w:hAnsi="仿宋_GB2312" w:eastAsia="仿宋_GB2312" w:cs="Times New Roman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滨江区商务局审核相关材料。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2.补贴兑现流程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由滨江区商务局委托第三方会计师事务所对申领信息进行审核，审核通过后，将相应补贴资金打入符合条件的家电零售企业银行账户。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left"/>
        <w:textAlignment w:val="auto"/>
        <w:rPr>
          <w:rFonts w:ascii="Times New Roman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1.</w:t>
      </w:r>
      <w:r>
        <w:rPr>
          <w:rFonts w:hint="eastAsia" w:ascii="Times New Roman" w:hAnsi="仿宋_GB2312" w:eastAsia="仿宋_GB2312" w:cs="Times New Roman"/>
          <w:sz w:val="32"/>
          <w:szCs w:val="32"/>
        </w:rPr>
        <w:t>家电</w:t>
      </w:r>
      <w:r>
        <w:rPr>
          <w:rFonts w:ascii="Times New Roman" w:hAnsi="仿宋_GB2312" w:eastAsia="仿宋_GB2312" w:cs="Times New Roman"/>
          <w:sz w:val="32"/>
          <w:szCs w:val="32"/>
        </w:rPr>
        <w:t>零售企业在活动期间内，应严格遵循补贴标准，不得将补贴抵消原有的优惠，可叠加原有优惠，以最大的优惠给予消费者。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2.符合条件的补贴产品应当单独支付结算并开具发票，发票抬头为个人；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3</w:t>
      </w:r>
      <w:r>
        <w:rPr>
          <w:rFonts w:ascii="Times New Roman" w:hAnsi="仿宋_GB2312" w:eastAsia="仿宋_GB2312" w:cs="Times New Roman"/>
          <w:sz w:val="32"/>
          <w:szCs w:val="32"/>
        </w:rPr>
        <w:t>.</w:t>
      </w:r>
      <w:r>
        <w:rPr>
          <w:rFonts w:hint="eastAsia" w:ascii="Times New Roman" w:hAnsi="仿宋_GB2312" w:eastAsia="仿宋_GB2312" w:cs="Times New Roman"/>
          <w:sz w:val="32"/>
          <w:szCs w:val="32"/>
        </w:rPr>
        <w:t>支付订单及</w:t>
      </w:r>
      <w:r>
        <w:rPr>
          <w:rFonts w:ascii="Times New Roman" w:hAnsi="仿宋_GB2312" w:eastAsia="仿宋_GB2312" w:cs="Times New Roman"/>
          <w:sz w:val="32"/>
          <w:szCs w:val="32"/>
        </w:rPr>
        <w:t>发票开具时间</w:t>
      </w:r>
      <w:r>
        <w:rPr>
          <w:rFonts w:hint="eastAsia" w:ascii="Times New Roman" w:hAnsi="仿宋_GB2312" w:eastAsia="仿宋_GB2312" w:cs="Times New Roman"/>
          <w:sz w:val="32"/>
          <w:szCs w:val="32"/>
        </w:rPr>
        <w:t>均</w:t>
      </w:r>
      <w:r>
        <w:rPr>
          <w:rFonts w:ascii="Times New Roman" w:hAnsi="仿宋_GB2312" w:eastAsia="仿宋_GB2312" w:cs="Times New Roman"/>
          <w:sz w:val="32"/>
          <w:szCs w:val="32"/>
        </w:rPr>
        <w:t>需在</w:t>
      </w:r>
      <w:r>
        <w:rPr>
          <w:rFonts w:hint="eastAsia" w:ascii="Times New Roman" w:hAnsi="仿宋_GB2312" w:eastAsia="仿宋_GB2312" w:cs="Times New Roman"/>
          <w:sz w:val="32"/>
          <w:szCs w:val="32"/>
        </w:rPr>
        <w:t>2024年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仿宋_GB2312" w:eastAsia="仿宋_GB2312" w:cs="Times New Roman"/>
          <w:sz w:val="32"/>
          <w:szCs w:val="32"/>
        </w:rPr>
        <w:t>日（含）</w:t>
      </w:r>
      <w:r>
        <w:rPr>
          <w:rFonts w:ascii="Times New Roman" w:hAnsi="仿宋_GB2312" w:eastAsia="仿宋_GB2312" w:cs="Times New Roman"/>
          <w:sz w:val="32"/>
          <w:szCs w:val="32"/>
        </w:rPr>
        <w:t>以后；此时间之前</w:t>
      </w:r>
      <w:r>
        <w:rPr>
          <w:rFonts w:hint="eastAsia" w:ascii="Times New Roman" w:hAnsi="仿宋_GB2312" w:eastAsia="仿宋_GB2312" w:cs="Times New Roman"/>
          <w:sz w:val="32"/>
          <w:szCs w:val="32"/>
        </w:rPr>
        <w:t>已产生订单或</w:t>
      </w:r>
      <w:r>
        <w:rPr>
          <w:rFonts w:ascii="Times New Roman" w:hAnsi="仿宋_GB2312" w:eastAsia="仿宋_GB2312" w:cs="Times New Roman"/>
          <w:sz w:val="32"/>
          <w:szCs w:val="32"/>
        </w:rPr>
        <w:t>已开票的一律不得</w:t>
      </w:r>
      <w:r>
        <w:rPr>
          <w:rFonts w:hint="eastAsia" w:ascii="Times New Roman" w:hAnsi="仿宋_GB2312" w:eastAsia="仿宋_GB2312" w:cs="Times New Roman"/>
          <w:sz w:val="32"/>
          <w:szCs w:val="32"/>
        </w:rPr>
        <w:t>重新支付订单或</w:t>
      </w:r>
      <w:r>
        <w:rPr>
          <w:rFonts w:ascii="Times New Roman" w:hAnsi="仿宋_GB2312" w:eastAsia="仿宋_GB2312" w:cs="Times New Roman"/>
          <w:sz w:val="32"/>
          <w:szCs w:val="32"/>
        </w:rPr>
        <w:t>重开发票享受补贴。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4</w:t>
      </w:r>
      <w:r>
        <w:rPr>
          <w:rFonts w:ascii="Times New Roman" w:hAnsi="仿宋_GB2312" w:eastAsia="仿宋_GB2312" w:cs="Times New Roman"/>
          <w:sz w:val="32"/>
          <w:szCs w:val="32"/>
        </w:rPr>
        <w:t>.如申报单位及个人提供虚假信息及材料，将取消活动资格，并对外公布纳入非诚信经营企业，追究相关法律责任。活动结束时，企业应主动向外界告知，避免不必要的消费纠纷。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.申请人办理补贴申请业务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无需</w:t>
      </w:r>
      <w:r>
        <w:rPr>
          <w:rFonts w:ascii="Times New Roman" w:hAnsi="仿宋_GB2312" w:eastAsia="仿宋_GB2312" w:cs="Times New Roman"/>
          <w:sz w:val="32"/>
          <w:szCs w:val="32"/>
        </w:rPr>
        <w:t>缴纳任何费用。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6</w:t>
      </w:r>
      <w:r>
        <w:rPr>
          <w:rFonts w:ascii="Times New Roman" w:hAnsi="仿宋_GB2312" w:eastAsia="仿宋_GB2312" w:cs="Times New Roman"/>
          <w:sz w:val="32"/>
          <w:szCs w:val="32"/>
        </w:rPr>
        <w:t>.滨江区商务局将对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剩余</w:t>
      </w:r>
      <w:r>
        <w:rPr>
          <w:rFonts w:ascii="Times New Roman" w:hAnsi="仿宋_GB2312" w:eastAsia="仿宋_GB2312" w:cs="Times New Roman"/>
          <w:sz w:val="32"/>
          <w:szCs w:val="32"/>
        </w:rPr>
        <w:t>补贴金额实时向参加活动的</w:t>
      </w:r>
      <w:r>
        <w:rPr>
          <w:rFonts w:hint="eastAsia" w:ascii="Times New Roman" w:hAnsi="仿宋_GB2312" w:eastAsia="仿宋_GB2312" w:cs="Times New Roman"/>
          <w:sz w:val="32"/>
          <w:szCs w:val="32"/>
        </w:rPr>
        <w:t>家电零售</w:t>
      </w:r>
      <w:r>
        <w:rPr>
          <w:rFonts w:ascii="Times New Roman" w:hAnsi="仿宋_GB2312" w:eastAsia="仿宋_GB2312" w:cs="Times New Roman"/>
          <w:sz w:val="32"/>
          <w:szCs w:val="32"/>
        </w:rPr>
        <w:t>企业公布，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当剩余</w:t>
      </w:r>
      <w:r>
        <w:rPr>
          <w:rFonts w:ascii="Times New Roman" w:hAnsi="仿宋_GB2312" w:eastAsia="仿宋_GB2312" w:cs="Times New Roman"/>
          <w:sz w:val="32"/>
          <w:szCs w:val="32"/>
        </w:rPr>
        <w:t>补贴金额接近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预警阈值</w:t>
      </w:r>
      <w:r>
        <w:rPr>
          <w:rFonts w:ascii="Times New Roman" w:hAnsi="仿宋_GB2312" w:eastAsia="仿宋_GB2312" w:cs="Times New Roman"/>
          <w:sz w:val="32"/>
          <w:szCs w:val="32"/>
        </w:rPr>
        <w:t>时，</w:t>
      </w:r>
      <w:r>
        <w:rPr>
          <w:rFonts w:hint="eastAsia" w:ascii="Times New Roman" w:hAnsi="仿宋_GB2312" w:eastAsia="仿宋_GB2312" w:cs="Times New Roman"/>
          <w:sz w:val="32"/>
          <w:szCs w:val="32"/>
        </w:rPr>
        <w:t>家电零售</w:t>
      </w:r>
      <w:r>
        <w:rPr>
          <w:rFonts w:ascii="Times New Roman" w:hAnsi="仿宋_GB2312" w:eastAsia="仿宋_GB2312" w:cs="Times New Roman"/>
          <w:sz w:val="32"/>
          <w:szCs w:val="32"/>
        </w:rPr>
        <w:t>企业应主动向消费者告知，避免引起不必要的消费纠纷。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补贴金额用完之后产生的订单不纳入本次补贴范围。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both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7</w:t>
      </w:r>
      <w:r>
        <w:rPr>
          <w:rFonts w:ascii="Times New Roman" w:hAnsi="仿宋_GB2312" w:eastAsia="仿宋_GB2312" w:cs="Times New Roman"/>
          <w:sz w:val="32"/>
          <w:szCs w:val="32"/>
        </w:rPr>
        <w:t>.本政策由滨江区商务局负责解释。</w:t>
      </w:r>
    </w:p>
    <w:p>
      <w:pPr>
        <w:pStyle w:val="2"/>
        <w:rPr>
          <w:rFonts w:ascii="Times New Roman" w:hAnsi="仿宋_GB2312" w:eastAsia="仿宋_GB2312" w:cs="Times New Roman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327" w:right="1800" w:bottom="132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+xGDM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wuxZFrZ6&#10;Z3mEjvJ4uzoGyJlUjqJ0SqA78YDpS33qNyWO95/nFPX47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vsRgz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YzY2YWJlZThkZjViZTI1OGYyYTA2MjFhYjE2NjIifQ=="/>
  </w:docVars>
  <w:rsids>
    <w:rsidRoot w:val="77A65D83"/>
    <w:rsid w:val="00016955"/>
    <w:rsid w:val="00107EE2"/>
    <w:rsid w:val="00171715"/>
    <w:rsid w:val="001C0417"/>
    <w:rsid w:val="00243A59"/>
    <w:rsid w:val="002C5889"/>
    <w:rsid w:val="003244F8"/>
    <w:rsid w:val="003757B0"/>
    <w:rsid w:val="00382257"/>
    <w:rsid w:val="00387DC5"/>
    <w:rsid w:val="003B22A8"/>
    <w:rsid w:val="003E5A2B"/>
    <w:rsid w:val="00436270"/>
    <w:rsid w:val="00442D0B"/>
    <w:rsid w:val="004564A9"/>
    <w:rsid w:val="00473E03"/>
    <w:rsid w:val="004A6B3D"/>
    <w:rsid w:val="0055091D"/>
    <w:rsid w:val="00567592"/>
    <w:rsid w:val="00567F28"/>
    <w:rsid w:val="005D6598"/>
    <w:rsid w:val="005F519A"/>
    <w:rsid w:val="005F7754"/>
    <w:rsid w:val="00685E4D"/>
    <w:rsid w:val="00692048"/>
    <w:rsid w:val="00717023"/>
    <w:rsid w:val="00761B33"/>
    <w:rsid w:val="00763D12"/>
    <w:rsid w:val="00771A48"/>
    <w:rsid w:val="007A0433"/>
    <w:rsid w:val="007C16B0"/>
    <w:rsid w:val="007C45E6"/>
    <w:rsid w:val="007C4F35"/>
    <w:rsid w:val="007F37D2"/>
    <w:rsid w:val="008212CA"/>
    <w:rsid w:val="008B5944"/>
    <w:rsid w:val="00960E3A"/>
    <w:rsid w:val="009614A8"/>
    <w:rsid w:val="009A2175"/>
    <w:rsid w:val="009A7A78"/>
    <w:rsid w:val="009F21FF"/>
    <w:rsid w:val="00A167B9"/>
    <w:rsid w:val="00A31AF9"/>
    <w:rsid w:val="00A44B75"/>
    <w:rsid w:val="00A74597"/>
    <w:rsid w:val="00AA5BB5"/>
    <w:rsid w:val="00AC5553"/>
    <w:rsid w:val="00B03BEA"/>
    <w:rsid w:val="00B25D1D"/>
    <w:rsid w:val="00B27DD1"/>
    <w:rsid w:val="00BF08DD"/>
    <w:rsid w:val="00BF5A2A"/>
    <w:rsid w:val="00C348D8"/>
    <w:rsid w:val="00C673EF"/>
    <w:rsid w:val="00C87492"/>
    <w:rsid w:val="00CA3B32"/>
    <w:rsid w:val="00CA4356"/>
    <w:rsid w:val="00CC118B"/>
    <w:rsid w:val="00CF6DF7"/>
    <w:rsid w:val="00D23669"/>
    <w:rsid w:val="00D30EE9"/>
    <w:rsid w:val="00D45323"/>
    <w:rsid w:val="00D57BF9"/>
    <w:rsid w:val="00D7203C"/>
    <w:rsid w:val="00DA17EC"/>
    <w:rsid w:val="00DC2D57"/>
    <w:rsid w:val="00DE08D4"/>
    <w:rsid w:val="00DF4D4F"/>
    <w:rsid w:val="00E42FD9"/>
    <w:rsid w:val="00E67954"/>
    <w:rsid w:val="00E8505B"/>
    <w:rsid w:val="00F0622C"/>
    <w:rsid w:val="00F30A2E"/>
    <w:rsid w:val="00F3195F"/>
    <w:rsid w:val="00F321C1"/>
    <w:rsid w:val="00F40E6F"/>
    <w:rsid w:val="00F5509C"/>
    <w:rsid w:val="00FB5135"/>
    <w:rsid w:val="04FB4DE5"/>
    <w:rsid w:val="0538363B"/>
    <w:rsid w:val="05B91DFD"/>
    <w:rsid w:val="069C17B6"/>
    <w:rsid w:val="06C4311E"/>
    <w:rsid w:val="06F1349D"/>
    <w:rsid w:val="11290F59"/>
    <w:rsid w:val="11992AD6"/>
    <w:rsid w:val="127B2A46"/>
    <w:rsid w:val="12A87A22"/>
    <w:rsid w:val="13993134"/>
    <w:rsid w:val="1A6A08AC"/>
    <w:rsid w:val="1C72213B"/>
    <w:rsid w:val="1D290402"/>
    <w:rsid w:val="201154F2"/>
    <w:rsid w:val="20566A36"/>
    <w:rsid w:val="21F162B2"/>
    <w:rsid w:val="22005686"/>
    <w:rsid w:val="241F6F06"/>
    <w:rsid w:val="255D6CCF"/>
    <w:rsid w:val="2940576A"/>
    <w:rsid w:val="295125BE"/>
    <w:rsid w:val="29D718DE"/>
    <w:rsid w:val="2A74204B"/>
    <w:rsid w:val="2F77580A"/>
    <w:rsid w:val="34863A54"/>
    <w:rsid w:val="37F00DEB"/>
    <w:rsid w:val="3D5D7356"/>
    <w:rsid w:val="4A8B1613"/>
    <w:rsid w:val="4B974194"/>
    <w:rsid w:val="4BA66C28"/>
    <w:rsid w:val="523242BB"/>
    <w:rsid w:val="5492391D"/>
    <w:rsid w:val="57503E4D"/>
    <w:rsid w:val="58751553"/>
    <w:rsid w:val="5E1A6FB2"/>
    <w:rsid w:val="5E5341F0"/>
    <w:rsid w:val="607A7FC9"/>
    <w:rsid w:val="62C04A62"/>
    <w:rsid w:val="6301023B"/>
    <w:rsid w:val="658C5B0B"/>
    <w:rsid w:val="664A5AFE"/>
    <w:rsid w:val="738021BE"/>
    <w:rsid w:val="756004E6"/>
    <w:rsid w:val="759231F0"/>
    <w:rsid w:val="77A65D83"/>
    <w:rsid w:val="77A835CE"/>
    <w:rsid w:val="798618C9"/>
    <w:rsid w:val="79E12970"/>
    <w:rsid w:val="7A7C32BD"/>
    <w:rsid w:val="7E164444"/>
    <w:rsid w:val="7E343A01"/>
    <w:rsid w:val="7E422258"/>
    <w:rsid w:val="7EB81E63"/>
    <w:rsid w:val="7F5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8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11"/>
    <w:link w:val="5"/>
    <w:autoRedefine/>
    <w:qFormat/>
    <w:uiPriority w:val="99"/>
    <w:rPr>
      <w:sz w:val="18"/>
      <w:szCs w:val="18"/>
    </w:rPr>
  </w:style>
  <w:style w:type="paragraph" w:customStyle="1" w:styleId="13">
    <w:name w:val="Default"/>
    <w:basedOn w:val="1"/>
    <w:autoRedefine/>
    <w:hidden/>
    <w:qFormat/>
    <w:uiPriority w:val="0"/>
    <w:pPr>
      <w:autoSpaceDE w:val="0"/>
      <w:autoSpaceDN w:val="0"/>
      <w:adjustRightInd w:val="0"/>
      <w:spacing w:line="360" w:lineRule="atLeast"/>
    </w:pPr>
    <w:rPr>
      <w:rFonts w:hint="eastAsia" w:ascii="黑体" w:hAnsi="宋体" w:eastAsia="黑体" w:cs="Times New Roman"/>
      <w:color w:val="000000"/>
      <w:kern w:val="0"/>
      <w:sz w:val="24"/>
    </w:rPr>
  </w:style>
  <w:style w:type="character" w:customStyle="1" w:styleId="14">
    <w:name w:val="批注框文本 Char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6">
    <w:name w:val="彩色列表 - 强调文字颜色 11"/>
    <w:basedOn w:val="1"/>
    <w:autoRedefine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7">
    <w:name w:val="正文1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8">
    <w:name w:val="正文首行缩进 2 Char"/>
    <w:basedOn w:val="11"/>
    <w:link w:val="2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217</Words>
  <Characters>1240</Characters>
  <Lines>10</Lines>
  <Paragraphs>2</Paragraphs>
  <TotalTime>8</TotalTime>
  <ScaleCrop>false</ScaleCrop>
  <LinksUpToDate>false</LinksUpToDate>
  <CharactersWithSpaces>1455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2023-05-12T06:26:00Z</dcterms:created>
  <dc:creator>ymj816</dc:creator>
  <cp:lastModifiedBy>admin</cp:lastModifiedBy>
  <cp:lastPrinted>2024-03-25T09:26:00Z</cp:lastPrinted>
  <dcterms:modified xsi:type="dcterms:W3CDTF">2024-05-17T07:32:49Z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03DC46A806044753A6D57A54958381C0_13</vt:lpwstr>
  </property>
</Properties>
</file>