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A8E6FC">
      <w:pPr>
        <w:spacing w:line="584" w:lineRule="exact"/>
        <w:jc w:val="center"/>
        <w:rPr>
          <w:rFonts w:hint="eastAsia" w:ascii="Times New Roman" w:hAnsi="Times New Roman" w:eastAsia="黑体" w:cs="Times New Roman"/>
          <w:color w:val="FFFFFF"/>
          <w:sz w:val="32"/>
          <w:szCs w:val="32"/>
          <w:lang w:eastAsia="zh-CN"/>
        </w:rPr>
      </w:pPr>
      <w:bookmarkStart w:id="0" w:name="_GoBack"/>
      <w:bookmarkEnd w:id="0"/>
    </w:p>
    <w:p w14:paraId="572DC059">
      <w:pPr>
        <w:widowControl/>
        <w:spacing w:line="700" w:lineRule="exact"/>
        <w:jc w:val="center"/>
        <w:rPr>
          <w:rFonts w:ascii="Times New Roman" w:hAnsi="Times New Roman" w:eastAsia="方正小标宋简体" w:cs="Times New Roman"/>
          <w:sz w:val="44"/>
          <w:szCs w:val="44"/>
        </w:rPr>
      </w:pPr>
      <w:r>
        <w:rPr>
          <w:rFonts w:hint="eastAsia" w:ascii="Times New Roman" w:hAnsi="Times New Roman" w:eastAsia="方正小标宋简体" w:cs="Times New Roman"/>
          <w:sz w:val="44"/>
          <w:szCs w:val="44"/>
          <w:lang w:eastAsia="zh-CN"/>
        </w:rPr>
        <w:t>玉环</w:t>
      </w:r>
      <w:r>
        <w:rPr>
          <w:rFonts w:ascii="Times New Roman" w:hAnsi="Times New Roman" w:eastAsia="方正小标宋简体" w:cs="Times New Roman"/>
          <w:sz w:val="44"/>
          <w:szCs w:val="44"/>
        </w:rPr>
        <w:t>市市属国有企业融资管理办法</w:t>
      </w:r>
    </w:p>
    <w:p w14:paraId="302E2DAD">
      <w:pPr>
        <w:widowControl/>
        <w:spacing w:line="700" w:lineRule="exact"/>
        <w:jc w:val="center"/>
        <w:rPr>
          <w:rFonts w:hint="eastAsia" w:ascii="Times New Roman" w:hAnsi="Times New Roman" w:eastAsia="方正小标宋简体" w:cs="Times New Roman"/>
          <w:sz w:val="44"/>
          <w:szCs w:val="44"/>
          <w:lang w:eastAsia="zh-CN"/>
        </w:rPr>
      </w:pPr>
      <w:r>
        <w:rPr>
          <w:rFonts w:hint="eastAsia" w:ascii="Times New Roman" w:hAnsi="Times New Roman" w:eastAsia="方正小标宋简体" w:cs="Times New Roman"/>
          <w:sz w:val="44"/>
          <w:szCs w:val="44"/>
          <w:lang w:eastAsia="zh-CN"/>
        </w:rPr>
        <w:t>（意见征求稿）</w:t>
      </w:r>
    </w:p>
    <w:p w14:paraId="446A4E0F">
      <w:pPr>
        <w:spacing w:line="600" w:lineRule="exact"/>
        <w:jc w:val="center"/>
        <w:rPr>
          <w:rFonts w:ascii="Times New Roman" w:hAnsi="Times New Roman" w:eastAsia="黑体" w:cs="Times New Roman"/>
          <w:sz w:val="32"/>
          <w:szCs w:val="32"/>
        </w:rPr>
      </w:pPr>
    </w:p>
    <w:p w14:paraId="3619A22D">
      <w:pPr>
        <w:spacing w:line="600" w:lineRule="exact"/>
        <w:jc w:val="center"/>
        <w:rPr>
          <w:sz w:val="32"/>
          <w:szCs w:val="32"/>
        </w:rPr>
      </w:pPr>
      <w:r>
        <w:rPr>
          <w:rFonts w:ascii="Times New Roman" w:hAnsi="Times New Roman" w:eastAsia="黑体" w:cs="Times New Roman"/>
          <w:sz w:val="32"/>
          <w:szCs w:val="32"/>
        </w:rPr>
        <w:t>第一章  总  则</w:t>
      </w:r>
    </w:p>
    <w:p w14:paraId="28DC1949">
      <w:pPr>
        <w:spacing w:line="600" w:lineRule="exact"/>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 xml:space="preserve">第一条 </w:t>
      </w:r>
      <w:r>
        <w:rPr>
          <w:rFonts w:ascii="Times New Roman" w:hAnsi="Times New Roman" w:eastAsia="仿宋_GB2312" w:cs="Times New Roman"/>
          <w:sz w:val="32"/>
          <w:szCs w:val="32"/>
        </w:rPr>
        <w:t xml:space="preserve"> 为</w:t>
      </w:r>
      <w:r>
        <w:rPr>
          <w:rFonts w:hint="eastAsia" w:ascii="Times New Roman" w:hAnsi="Times New Roman" w:eastAsia="仿宋_GB2312" w:cs="Times New Roman"/>
          <w:sz w:val="32"/>
          <w:szCs w:val="32"/>
          <w:lang w:eastAsia="zh-CN"/>
        </w:rPr>
        <w:t>依法履行出资人职责，</w:t>
      </w:r>
      <w:r>
        <w:rPr>
          <w:rFonts w:ascii="Times New Roman" w:hAnsi="Times New Roman" w:eastAsia="仿宋_GB2312" w:cs="Times New Roman"/>
          <w:sz w:val="32"/>
          <w:szCs w:val="32"/>
        </w:rPr>
        <w:t>规范市属国有企业的融资工作，</w:t>
      </w:r>
      <w:r>
        <w:rPr>
          <w:rFonts w:hint="eastAsia" w:ascii="Times New Roman" w:hAnsi="Times New Roman" w:eastAsia="仿宋_GB2312" w:cs="Times New Roman"/>
          <w:sz w:val="32"/>
          <w:szCs w:val="32"/>
          <w:lang w:eastAsia="zh-CN"/>
        </w:rPr>
        <w:t>加强企业融资事项管理，</w:t>
      </w:r>
      <w:r>
        <w:rPr>
          <w:rFonts w:ascii="Times New Roman" w:hAnsi="Times New Roman" w:eastAsia="仿宋_GB2312" w:cs="Times New Roman"/>
          <w:sz w:val="32"/>
          <w:szCs w:val="32"/>
        </w:rPr>
        <w:t>提高资金运作效率，降低融资成本，防范债务风险</w:t>
      </w:r>
      <w:r>
        <w:rPr>
          <w:rFonts w:hint="eastAsia" w:ascii="Times New Roman" w:hAnsi="Times New Roman" w:eastAsia="仿宋_GB2312" w:cs="Times New Roman"/>
          <w:sz w:val="32"/>
          <w:szCs w:val="32"/>
          <w:lang w:eastAsia="zh-CN"/>
        </w:rPr>
        <w:t>，根据《中华人民共和国民法典》《中华人民共和国公司法》《中华人民共和国企业国有资产法》《企业国有资产监督管理暂行条例》等法律法规规定，结合我市实际，制定本办法。</w:t>
      </w:r>
    </w:p>
    <w:p w14:paraId="09380854">
      <w:pPr>
        <w:keepNext w:val="0"/>
        <w:keepLines w:val="0"/>
        <w:widowControl/>
        <w:suppressLineNumbers w:val="0"/>
        <w:ind w:firstLine="640" w:firstLineChars="200"/>
        <w:jc w:val="left"/>
        <w:rPr>
          <w:rFonts w:hint="eastAsia" w:ascii="Times New Roman" w:hAnsi="Times New Roman" w:eastAsia="仿宋_GB2312" w:cs="Times New Roman"/>
          <w:sz w:val="32"/>
          <w:szCs w:val="32"/>
          <w:u w:val="none"/>
          <w:lang w:eastAsia="zh-CN"/>
        </w:rPr>
      </w:pPr>
      <w:r>
        <w:rPr>
          <w:rFonts w:eastAsia="黑体"/>
          <w:sz w:val="32"/>
          <w:szCs w:val="32"/>
        </w:rPr>
        <w:t>第二</w:t>
      </w:r>
      <w:r>
        <w:rPr>
          <w:rFonts w:eastAsia="黑体"/>
          <w:sz w:val="32"/>
          <w:szCs w:val="32"/>
          <w:u w:val="none"/>
        </w:rPr>
        <w:t>条</w:t>
      </w:r>
      <w:r>
        <w:rPr>
          <w:rFonts w:eastAsia="仿宋_GB2312"/>
          <w:b/>
          <w:bCs/>
          <w:sz w:val="32"/>
          <w:szCs w:val="32"/>
          <w:u w:val="none"/>
        </w:rPr>
        <w:t xml:space="preserve">  </w:t>
      </w:r>
      <w:r>
        <w:rPr>
          <w:rFonts w:hint="eastAsia" w:ascii="Times New Roman" w:hAnsi="Times New Roman" w:eastAsia="仿宋_GB2312" w:cs="Times New Roman"/>
          <w:sz w:val="32"/>
          <w:szCs w:val="32"/>
          <w:u w:val="none"/>
          <w:lang w:eastAsia="zh-CN"/>
        </w:rPr>
        <w:t>本办法适用于由玉环市人民政府授权履行出资人职责的监管机构（以下简称市国资监管机构）出资的国有企业本级及下属的全资、控股以及具有实际控制权的各级企业</w:t>
      </w:r>
      <w:r>
        <w:rPr>
          <w:rFonts w:hint="eastAsia" w:ascii="Times New Roman" w:hAnsi="Times New Roman" w:eastAsia="仿宋_GB2312" w:cs="Times New Roman"/>
          <w:sz w:val="32"/>
          <w:szCs w:val="32"/>
          <w:u w:val="none"/>
          <w:lang w:val="en-US" w:eastAsia="zh-CN"/>
        </w:rPr>
        <w:t>（以下简称企业）。</w:t>
      </w:r>
    </w:p>
    <w:p w14:paraId="053F7046">
      <w:pPr>
        <w:spacing w:line="600" w:lineRule="exact"/>
        <w:ind w:firstLine="640" w:firstLineChars="200"/>
        <w:rPr>
          <w:rFonts w:hint="eastAsia" w:ascii="Times New Roman" w:hAnsi="Times New Roman" w:eastAsia="仿宋_GB2312" w:cs="Times New Roman"/>
          <w:sz w:val="32"/>
          <w:szCs w:val="32"/>
          <w:u w:val="none"/>
          <w:lang w:eastAsia="zh-CN"/>
        </w:rPr>
      </w:pPr>
      <w:r>
        <w:rPr>
          <w:rFonts w:ascii="Times New Roman" w:hAnsi="Times New Roman" w:eastAsia="黑体" w:cs="Times New Roman"/>
          <w:sz w:val="32"/>
          <w:szCs w:val="32"/>
          <w:u w:val="none"/>
        </w:rPr>
        <w:t>第三条</w:t>
      </w:r>
      <w:r>
        <w:rPr>
          <w:rFonts w:ascii="Times New Roman" w:hAnsi="Times New Roman" w:eastAsia="仿宋_GB2312" w:cs="Times New Roman"/>
          <w:b/>
          <w:bCs/>
          <w:sz w:val="32"/>
          <w:szCs w:val="32"/>
          <w:u w:val="none"/>
        </w:rPr>
        <w:t xml:space="preserve">  </w:t>
      </w:r>
      <w:r>
        <w:rPr>
          <w:rFonts w:ascii="Times New Roman" w:hAnsi="Times New Roman" w:eastAsia="仿宋_GB2312" w:cs="Times New Roman"/>
          <w:sz w:val="32"/>
          <w:szCs w:val="32"/>
          <w:u w:val="none"/>
        </w:rPr>
        <w:t>本办法所称的融资是指</w:t>
      </w:r>
      <w:r>
        <w:rPr>
          <w:rFonts w:hint="eastAsia" w:ascii="Times New Roman" w:hAnsi="Times New Roman" w:eastAsia="仿宋_GB2312" w:cs="Times New Roman"/>
          <w:sz w:val="32"/>
          <w:szCs w:val="32"/>
          <w:u w:val="none"/>
          <w:lang w:eastAsia="zh-CN"/>
        </w:rPr>
        <w:t>企业因自身生产经营活动、投资活动需要而进行资金筹措的行为。主要包括以信用、保证、抵押、质押、租赁、发行债券等方式开展的间接、直接筹资活动。</w:t>
      </w:r>
    </w:p>
    <w:p w14:paraId="7FB9F5BA">
      <w:pPr>
        <w:spacing w:line="600" w:lineRule="exact"/>
        <w:ind w:firstLine="640" w:firstLineChars="200"/>
        <w:rPr>
          <w:rFonts w:hint="eastAsia" w:ascii="Times New Roman" w:hAnsi="Times New Roman" w:eastAsia="仿宋_GB2312" w:cs="Times New Roman"/>
          <w:sz w:val="32"/>
          <w:szCs w:val="32"/>
          <w:u w:val="none"/>
          <w:lang w:val="en-US" w:eastAsia="zh-CN"/>
        </w:rPr>
      </w:pPr>
      <w:r>
        <w:rPr>
          <w:rFonts w:hint="eastAsia" w:ascii="Times New Roman" w:hAnsi="Times New Roman" w:eastAsia="黑体" w:cs="Times New Roman"/>
          <w:sz w:val="32"/>
          <w:szCs w:val="32"/>
          <w:u w:val="none"/>
          <w:lang w:eastAsia="zh-CN"/>
        </w:rPr>
        <w:t>第四条</w:t>
      </w:r>
      <w:r>
        <w:rPr>
          <w:rFonts w:hint="eastAsia" w:ascii="Times New Roman" w:hAnsi="Times New Roman" w:eastAsia="仿宋_GB2312" w:cs="Times New Roman"/>
          <w:sz w:val="32"/>
          <w:szCs w:val="32"/>
          <w:u w:val="none"/>
          <w:lang w:val="en-US" w:eastAsia="zh-CN"/>
        </w:rPr>
        <w:t xml:space="preserve">  企业融资应遵循以下原则：严格融资程序，聚焦主业发展，优化债务结构，降低融资成本，防范融资风险。</w:t>
      </w:r>
    </w:p>
    <w:p w14:paraId="0F2DB4DE">
      <w:pPr>
        <w:spacing w:line="600" w:lineRule="exact"/>
        <w:ind w:firstLine="640" w:firstLineChars="200"/>
        <w:rPr>
          <w:rFonts w:hint="eastAsia" w:ascii="Times New Roman" w:hAnsi="Times New Roman" w:eastAsia="仿宋_GB2312" w:cs="Times New Roman"/>
          <w:sz w:val="32"/>
          <w:szCs w:val="32"/>
          <w:u w:val="none"/>
          <w:lang w:val="en-US" w:eastAsia="zh-CN"/>
        </w:rPr>
      </w:pPr>
    </w:p>
    <w:p w14:paraId="589F8D25">
      <w:pPr>
        <w:spacing w:line="600" w:lineRule="exact"/>
        <w:ind w:firstLine="640" w:firstLineChars="200"/>
        <w:jc w:val="center"/>
        <w:rPr>
          <w:rFonts w:hint="eastAsia" w:ascii="Times New Roman" w:hAnsi="Times New Roman" w:eastAsia="仿宋_GB2312" w:cs="Times New Roman"/>
          <w:sz w:val="32"/>
          <w:szCs w:val="32"/>
          <w:u w:val="none"/>
          <w:lang w:val="en-US" w:eastAsia="zh-CN"/>
        </w:rPr>
      </w:pPr>
      <w:r>
        <w:rPr>
          <w:rFonts w:hint="eastAsia" w:ascii="Times New Roman" w:hAnsi="Times New Roman" w:eastAsia="黑体" w:cs="Times New Roman"/>
          <w:sz w:val="32"/>
          <w:szCs w:val="32"/>
          <w:u w:val="none"/>
          <w:lang w:val="en-US" w:eastAsia="zh-CN"/>
        </w:rPr>
        <w:t>第二章   融资职责</w:t>
      </w:r>
    </w:p>
    <w:p w14:paraId="49426081">
      <w:pPr>
        <w:spacing w:line="600" w:lineRule="exact"/>
        <w:ind w:firstLine="640" w:firstLineChars="200"/>
        <w:jc w:val="both"/>
        <w:rPr>
          <w:rFonts w:hint="default" w:ascii="Times New Roman" w:hAnsi="Times New Roman" w:eastAsia="仿宋_GB2312" w:cs="Times New Roman"/>
          <w:sz w:val="32"/>
          <w:szCs w:val="32"/>
          <w:u w:val="none"/>
          <w:lang w:val="en-US" w:eastAsia="zh-CN"/>
        </w:rPr>
      </w:pPr>
      <w:r>
        <w:rPr>
          <w:rFonts w:hint="eastAsia" w:ascii="Times New Roman" w:hAnsi="Times New Roman" w:eastAsia="黑体" w:cs="Times New Roman"/>
          <w:sz w:val="32"/>
          <w:szCs w:val="32"/>
          <w:u w:val="none"/>
          <w:lang w:val="en-US" w:eastAsia="zh-CN"/>
        </w:rPr>
        <w:t xml:space="preserve">第五条 </w:t>
      </w:r>
      <w:r>
        <w:rPr>
          <w:rFonts w:hint="eastAsia" w:ascii="Times New Roman" w:hAnsi="Times New Roman" w:eastAsia="仿宋_GB2312" w:cs="Times New Roman"/>
          <w:sz w:val="32"/>
          <w:szCs w:val="32"/>
          <w:u w:val="none"/>
          <w:lang w:val="en-US" w:eastAsia="zh-CN"/>
        </w:rPr>
        <w:t xml:space="preserve"> 市国资监管机构加强企业融资事项管理，结合监管实际，依法履行下列监管职责：</w:t>
      </w:r>
    </w:p>
    <w:p w14:paraId="01ACEAE8">
      <w:pPr>
        <w:spacing w:line="600" w:lineRule="exact"/>
        <w:ind w:firstLine="640" w:firstLineChars="200"/>
        <w:rPr>
          <w:rFonts w:hint="eastAsia" w:ascii="Times New Roman" w:hAnsi="Times New Roman" w:eastAsia="仿宋_GB2312" w:cs="Times New Roman"/>
          <w:sz w:val="32"/>
          <w:szCs w:val="32"/>
          <w:u w:val="none"/>
          <w:lang w:eastAsia="zh-CN"/>
        </w:rPr>
      </w:pPr>
      <w:r>
        <w:rPr>
          <w:rFonts w:hint="eastAsia" w:ascii="Times New Roman" w:hAnsi="Times New Roman" w:eastAsia="仿宋_GB2312" w:cs="Times New Roman"/>
          <w:sz w:val="32"/>
          <w:szCs w:val="32"/>
          <w:u w:val="none"/>
          <w:lang w:eastAsia="zh-CN"/>
        </w:rPr>
        <w:t>（一）按照国家有关法律法规规章，制定完善企业融资管理相关制度，指导和监督企业建立健全融资管理制度。</w:t>
      </w:r>
    </w:p>
    <w:p w14:paraId="2669E122">
      <w:pPr>
        <w:spacing w:line="600" w:lineRule="exact"/>
        <w:ind w:firstLine="640" w:firstLineChars="200"/>
        <w:rPr>
          <w:rFonts w:hint="eastAsia" w:ascii="Times New Roman" w:hAnsi="Times New Roman" w:eastAsia="仿宋_GB2312" w:cs="Times New Roman"/>
          <w:sz w:val="32"/>
          <w:szCs w:val="32"/>
          <w:u w:val="none"/>
          <w:lang w:eastAsia="zh-CN"/>
        </w:rPr>
      </w:pPr>
      <w:r>
        <w:rPr>
          <w:rFonts w:hint="eastAsia" w:ascii="Times New Roman" w:hAnsi="Times New Roman" w:eastAsia="仿宋_GB2312" w:cs="Times New Roman"/>
          <w:sz w:val="32"/>
          <w:szCs w:val="32"/>
          <w:u w:val="none"/>
          <w:lang w:eastAsia="zh-CN"/>
        </w:rPr>
        <w:t>（二）完善企业债务风险防控体系，建立资产</w:t>
      </w:r>
      <w:r>
        <w:rPr>
          <w:rFonts w:hint="eastAsia" w:ascii="Times New Roman" w:hAnsi="Times New Roman" w:eastAsia="仿宋_GB2312" w:cs="Times New Roman"/>
          <w:color w:val="auto"/>
          <w:sz w:val="32"/>
          <w:szCs w:val="32"/>
          <w:u w:val="none"/>
          <w:lang w:eastAsia="zh-CN"/>
        </w:rPr>
        <w:t>负</w:t>
      </w:r>
      <w:r>
        <w:rPr>
          <w:rFonts w:hint="eastAsia" w:ascii="Times New Roman" w:hAnsi="Times New Roman" w:eastAsia="仿宋_GB2312" w:cs="Times New Roman"/>
          <w:color w:val="auto"/>
          <w:sz w:val="32"/>
          <w:szCs w:val="32"/>
          <w:u w:val="none"/>
          <w:lang w:val="en-US" w:eastAsia="zh-CN"/>
        </w:rPr>
        <w:t>债</w:t>
      </w:r>
      <w:r>
        <w:rPr>
          <w:rFonts w:hint="eastAsia" w:ascii="Times New Roman" w:hAnsi="Times New Roman" w:eastAsia="仿宋_GB2312" w:cs="Times New Roman"/>
          <w:color w:val="auto"/>
          <w:sz w:val="32"/>
          <w:szCs w:val="32"/>
          <w:u w:val="none"/>
          <w:lang w:eastAsia="zh-CN"/>
        </w:rPr>
        <w:t>约</w:t>
      </w:r>
      <w:r>
        <w:rPr>
          <w:rFonts w:hint="eastAsia" w:ascii="Times New Roman" w:hAnsi="Times New Roman" w:eastAsia="仿宋_GB2312" w:cs="Times New Roman"/>
          <w:sz w:val="32"/>
          <w:szCs w:val="32"/>
          <w:u w:val="none"/>
          <w:lang w:eastAsia="zh-CN"/>
        </w:rPr>
        <w:t>束机制和债务风险监测预警机制，实行债务规模和资产负债率“双管控”。</w:t>
      </w:r>
    </w:p>
    <w:p w14:paraId="3AEBCC8E">
      <w:pPr>
        <w:spacing w:line="600" w:lineRule="exact"/>
        <w:ind w:firstLine="640" w:firstLineChars="200"/>
        <w:rPr>
          <w:rFonts w:hint="eastAsia" w:ascii="Times New Roman" w:hAnsi="Times New Roman" w:eastAsia="仿宋_GB2312" w:cs="Times New Roman"/>
          <w:sz w:val="32"/>
          <w:szCs w:val="32"/>
          <w:u w:val="none"/>
          <w:lang w:eastAsia="zh-CN"/>
        </w:rPr>
      </w:pPr>
      <w:r>
        <w:rPr>
          <w:rFonts w:hint="eastAsia" w:ascii="Times New Roman" w:hAnsi="Times New Roman" w:eastAsia="仿宋_GB2312" w:cs="Times New Roman"/>
          <w:sz w:val="32"/>
          <w:szCs w:val="32"/>
          <w:u w:val="none"/>
          <w:lang w:eastAsia="zh-CN"/>
        </w:rPr>
        <w:t>（三）审议企业年度融资计划，核准企业申请发行债券</w:t>
      </w:r>
      <w:r>
        <w:rPr>
          <w:rFonts w:hint="eastAsia" w:ascii="Times New Roman" w:hAnsi="Times New Roman" w:eastAsia="仿宋_GB2312" w:cs="Times New Roman"/>
          <w:b w:val="0"/>
          <w:bCs w:val="0"/>
          <w:color w:val="auto"/>
          <w:sz w:val="32"/>
          <w:szCs w:val="32"/>
          <w:u w:val="none"/>
          <w:lang w:eastAsia="zh-CN"/>
        </w:rPr>
        <w:t>、非标准化等融资产品</w:t>
      </w:r>
      <w:r>
        <w:rPr>
          <w:rFonts w:hint="eastAsia" w:ascii="Times New Roman" w:hAnsi="Times New Roman" w:eastAsia="仿宋_GB2312" w:cs="Times New Roman"/>
          <w:sz w:val="32"/>
          <w:szCs w:val="32"/>
          <w:u w:val="none"/>
          <w:lang w:eastAsia="zh-CN"/>
        </w:rPr>
        <w:t>事项，引导企业做好融资结构与资金安全的平衡、偿债时间与现金流量相匹配。</w:t>
      </w:r>
    </w:p>
    <w:p w14:paraId="782ADA00">
      <w:pPr>
        <w:spacing w:line="600" w:lineRule="exact"/>
        <w:ind w:firstLine="640" w:firstLineChars="200"/>
        <w:rPr>
          <w:rFonts w:hint="eastAsia" w:ascii="Times New Roman" w:hAnsi="Times New Roman" w:eastAsia="仿宋_GB2312" w:cs="Times New Roman"/>
          <w:sz w:val="32"/>
          <w:szCs w:val="32"/>
          <w:u w:val="none"/>
          <w:lang w:eastAsia="zh-CN"/>
        </w:rPr>
      </w:pPr>
      <w:r>
        <w:rPr>
          <w:rFonts w:hint="eastAsia" w:ascii="Times New Roman" w:hAnsi="Times New Roman" w:eastAsia="仿宋_GB2312" w:cs="Times New Roman"/>
          <w:sz w:val="32"/>
          <w:szCs w:val="32"/>
          <w:u w:val="none"/>
          <w:lang w:eastAsia="zh-CN"/>
        </w:rPr>
        <w:t>（四）督促企业严格执行国家金融监管政策，按照融资协议约定用途使用资金，如期偿付资金本息。</w:t>
      </w:r>
    </w:p>
    <w:p w14:paraId="03A0B14F">
      <w:pPr>
        <w:spacing w:line="600" w:lineRule="exact"/>
        <w:ind w:firstLine="640" w:firstLineChars="200"/>
        <w:rPr>
          <w:rFonts w:hint="eastAsia" w:ascii="Times New Roman" w:hAnsi="Times New Roman" w:eastAsia="仿宋_GB2312" w:cs="Times New Roman"/>
          <w:sz w:val="32"/>
          <w:szCs w:val="32"/>
          <w:u w:val="none"/>
          <w:lang w:eastAsia="zh-CN"/>
        </w:rPr>
      </w:pPr>
      <w:r>
        <w:rPr>
          <w:rFonts w:hint="eastAsia" w:ascii="Times New Roman" w:hAnsi="Times New Roman" w:eastAsia="仿宋_GB2312" w:cs="Times New Roman"/>
          <w:sz w:val="32"/>
          <w:szCs w:val="32"/>
          <w:u w:val="none"/>
          <w:lang w:eastAsia="zh-CN"/>
        </w:rPr>
        <w:t>（五）指导企业防范、化解、处置融资风险。及时将重大风险事项报告本级政府及相关部门。</w:t>
      </w:r>
    </w:p>
    <w:p w14:paraId="2E53695B">
      <w:pPr>
        <w:spacing w:line="600" w:lineRule="exact"/>
        <w:ind w:firstLine="640" w:firstLineChars="200"/>
        <w:rPr>
          <w:rFonts w:hint="eastAsia" w:ascii="Times New Roman" w:hAnsi="Times New Roman" w:eastAsia="仿宋_GB2312" w:cs="Times New Roman"/>
          <w:sz w:val="32"/>
          <w:szCs w:val="32"/>
          <w:u w:val="none"/>
          <w:lang w:eastAsia="zh-CN"/>
        </w:rPr>
      </w:pPr>
      <w:r>
        <w:rPr>
          <w:rFonts w:hint="eastAsia" w:ascii="Times New Roman" w:hAnsi="Times New Roman" w:eastAsia="仿宋_GB2312" w:cs="Times New Roman"/>
          <w:sz w:val="32"/>
          <w:szCs w:val="32"/>
          <w:u w:val="none"/>
          <w:lang w:eastAsia="zh-CN"/>
        </w:rPr>
        <w:t>（六）其他法定职责。</w:t>
      </w:r>
    </w:p>
    <w:p w14:paraId="410F08E5">
      <w:pPr>
        <w:spacing w:line="600" w:lineRule="exact"/>
        <w:ind w:firstLine="640" w:firstLineChars="200"/>
        <w:rPr>
          <w:rFonts w:hint="eastAsia" w:ascii="Times New Roman" w:hAnsi="Times New Roman" w:eastAsia="仿宋_GB2312" w:cs="Times New Roman"/>
          <w:sz w:val="32"/>
          <w:szCs w:val="32"/>
          <w:u w:val="none"/>
          <w:lang w:val="en-US" w:eastAsia="zh-CN"/>
        </w:rPr>
      </w:pPr>
      <w:r>
        <w:rPr>
          <w:rFonts w:hint="eastAsia" w:ascii="Times New Roman" w:hAnsi="Times New Roman" w:eastAsia="黑体" w:cs="Times New Roman"/>
          <w:sz w:val="32"/>
          <w:szCs w:val="32"/>
          <w:u w:val="none"/>
          <w:lang w:val="en-US" w:eastAsia="zh-CN"/>
        </w:rPr>
        <w:t>第六条</w:t>
      </w:r>
      <w:r>
        <w:rPr>
          <w:rFonts w:hint="eastAsia" w:ascii="Times New Roman" w:hAnsi="Times New Roman" w:eastAsia="仿宋_GB2312" w:cs="Times New Roman"/>
          <w:sz w:val="32"/>
          <w:szCs w:val="32"/>
          <w:u w:val="none"/>
          <w:lang w:val="en-US" w:eastAsia="zh-CN"/>
        </w:rPr>
        <w:t xml:space="preserve">   企业是融资活动的责任主体，是融资决策直接责任人，其主要职责包括：</w:t>
      </w:r>
    </w:p>
    <w:p w14:paraId="4915C600">
      <w:pPr>
        <w:spacing w:line="600" w:lineRule="exact"/>
        <w:ind w:firstLine="640" w:firstLineChars="200"/>
        <w:rPr>
          <w:rFonts w:hint="eastAsia" w:ascii="Times New Roman" w:hAnsi="Times New Roman" w:eastAsia="仿宋_GB2312" w:cs="Times New Roman"/>
          <w:sz w:val="32"/>
          <w:szCs w:val="32"/>
          <w:u w:val="none"/>
          <w:lang w:val="en-US" w:eastAsia="zh-CN"/>
        </w:rPr>
      </w:pPr>
      <w:r>
        <w:rPr>
          <w:rFonts w:hint="eastAsia" w:ascii="Times New Roman" w:hAnsi="Times New Roman" w:eastAsia="仿宋_GB2312" w:cs="Times New Roman"/>
          <w:sz w:val="32"/>
          <w:szCs w:val="32"/>
          <w:u w:val="none"/>
          <w:lang w:val="en-US" w:eastAsia="zh-CN"/>
        </w:rPr>
        <w:t>（一）制定融资管理制度。融资管理制度要明确本企业融资事项管理专门机构及工作职责、融资决策事项、所属企业融资权限等内容，构建“借、用、管、还”及风险防范一体的融资管理体系。</w:t>
      </w:r>
    </w:p>
    <w:p w14:paraId="1B615D93">
      <w:pPr>
        <w:spacing w:line="600" w:lineRule="exact"/>
        <w:ind w:firstLine="640" w:firstLineChars="200"/>
        <w:rPr>
          <w:rFonts w:hint="default" w:ascii="Times New Roman" w:hAnsi="Times New Roman" w:eastAsia="仿宋_GB2312" w:cs="Times New Roman"/>
          <w:sz w:val="32"/>
          <w:szCs w:val="32"/>
          <w:u w:val="none"/>
          <w:lang w:val="en-US" w:eastAsia="zh-CN"/>
        </w:rPr>
      </w:pPr>
      <w:r>
        <w:rPr>
          <w:rFonts w:hint="eastAsia" w:ascii="Times New Roman" w:hAnsi="Times New Roman" w:eastAsia="仿宋_GB2312" w:cs="Times New Roman"/>
          <w:sz w:val="32"/>
          <w:szCs w:val="32"/>
          <w:u w:val="none"/>
          <w:lang w:val="en-US" w:eastAsia="zh-CN"/>
        </w:rPr>
        <w:t>（二）制订年度融资计划。年度融资计划应当包括资金需求、融资规模、融资方式、融资成本、资金用途、债务结构、财务状况及对未来收益的影响等内容。</w:t>
      </w:r>
    </w:p>
    <w:p w14:paraId="4F585690">
      <w:pPr>
        <w:numPr>
          <w:ilvl w:val="0"/>
          <w:numId w:val="2"/>
        </w:numPr>
        <w:spacing w:line="600" w:lineRule="exact"/>
        <w:ind w:left="-10" w:leftChars="0" w:firstLine="640" w:firstLineChars="0"/>
        <w:rPr>
          <w:rFonts w:hint="eastAsia" w:ascii="Times New Roman" w:hAnsi="Times New Roman" w:eastAsia="仿宋_GB2312" w:cs="Times New Roman"/>
          <w:sz w:val="32"/>
          <w:szCs w:val="32"/>
          <w:u w:val="none"/>
          <w:lang w:val="en-US" w:eastAsia="zh-CN"/>
        </w:rPr>
      </w:pPr>
      <w:r>
        <w:rPr>
          <w:rFonts w:hint="eastAsia" w:ascii="Times New Roman" w:hAnsi="Times New Roman" w:eastAsia="仿宋_GB2312" w:cs="Times New Roman"/>
          <w:sz w:val="32"/>
          <w:szCs w:val="32"/>
          <w:u w:val="none"/>
          <w:lang w:val="en-US" w:eastAsia="zh-CN"/>
        </w:rPr>
        <w:t>加强融资决策管理。企业融资事项按照方案提出、审查论证、审议决策、审批实施四个步骤进行管理。根据企业发展战略、投资计划、项目建设周期、债务规模、债务结构、盈利能力、偿还能力、资产质量等实际，充分考虑金融市场利率水平和变化趋势，合理选择融资方案，优化债务结构，降低融资成本。</w:t>
      </w:r>
    </w:p>
    <w:p w14:paraId="76435620">
      <w:pPr>
        <w:numPr>
          <w:ilvl w:val="0"/>
          <w:numId w:val="2"/>
        </w:numPr>
        <w:spacing w:line="600" w:lineRule="exact"/>
        <w:ind w:left="-10" w:leftChars="0" w:firstLine="640" w:firstLineChars="0"/>
        <w:rPr>
          <w:rFonts w:hint="default" w:ascii="Times New Roman" w:hAnsi="Times New Roman" w:eastAsia="仿宋_GB2312" w:cs="Times New Roman"/>
          <w:sz w:val="32"/>
          <w:szCs w:val="32"/>
          <w:u w:val="none"/>
          <w:lang w:val="en-US" w:eastAsia="zh-CN"/>
        </w:rPr>
      </w:pPr>
      <w:r>
        <w:rPr>
          <w:rFonts w:hint="eastAsia" w:ascii="Times New Roman" w:hAnsi="Times New Roman" w:eastAsia="仿宋_GB2312" w:cs="Times New Roman"/>
          <w:sz w:val="32"/>
          <w:szCs w:val="32"/>
          <w:u w:val="none"/>
          <w:lang w:val="en-US" w:eastAsia="zh-CN"/>
        </w:rPr>
        <w:t>加强融资风险管控。定期开展资金流动性风险评估，加强债务风险预警，充分研判企业未来债务偿还能力，及时采取有效措施化解偿付风险。</w:t>
      </w:r>
    </w:p>
    <w:p w14:paraId="4D1333F3">
      <w:pPr>
        <w:numPr>
          <w:ilvl w:val="0"/>
          <w:numId w:val="2"/>
        </w:numPr>
        <w:spacing w:line="600" w:lineRule="exact"/>
        <w:ind w:left="-10" w:leftChars="0" w:firstLine="640" w:firstLineChars="0"/>
        <w:rPr>
          <w:rFonts w:hint="default" w:ascii="Times New Roman" w:hAnsi="Times New Roman" w:eastAsia="仿宋_GB2312" w:cs="Times New Roman"/>
          <w:sz w:val="32"/>
          <w:szCs w:val="32"/>
          <w:highlight w:val="none"/>
          <w:u w:val="none"/>
          <w:lang w:val="en-US" w:eastAsia="zh-CN"/>
        </w:rPr>
      </w:pPr>
      <w:r>
        <w:rPr>
          <w:rFonts w:hint="eastAsia" w:ascii="Times New Roman" w:hAnsi="Times New Roman" w:eastAsia="仿宋_GB2312" w:cs="Times New Roman"/>
          <w:sz w:val="32"/>
          <w:szCs w:val="32"/>
          <w:highlight w:val="none"/>
          <w:u w:val="none"/>
          <w:lang w:val="en-US" w:eastAsia="zh-CN"/>
        </w:rPr>
        <w:t>建立融资计划执行情况报告制度。每年7月底前，将年度融资计划上半年执行情况逐级汇总向玉环市国有资产投资经营集团有限公司（以下简称市国投集团）作出书面报告，由市国投集团汇总报送至市国资监管机构备案。次年3月底前，逐级汇总向市国投集团上报上一年度的融资分析报告，由市国投集团汇总报送至市国资监管机构备案。上一年度融资分析报告可与下一年度融资计划一并上报。</w:t>
      </w:r>
    </w:p>
    <w:p w14:paraId="0167A8F0">
      <w:pPr>
        <w:numPr>
          <w:ilvl w:val="0"/>
          <w:numId w:val="2"/>
        </w:numPr>
        <w:spacing w:line="600" w:lineRule="exact"/>
        <w:ind w:left="-10" w:leftChars="0" w:firstLine="640" w:firstLineChars="0"/>
        <w:rPr>
          <w:rFonts w:hint="default" w:ascii="Times New Roman" w:hAnsi="Times New Roman" w:eastAsia="仿宋_GB2312" w:cs="Times New Roman"/>
          <w:sz w:val="32"/>
          <w:szCs w:val="32"/>
          <w:u w:val="none"/>
          <w:lang w:val="en-US" w:eastAsia="zh-CN"/>
        </w:rPr>
      </w:pPr>
      <w:r>
        <w:rPr>
          <w:rFonts w:hint="eastAsia" w:ascii="Times New Roman" w:hAnsi="Times New Roman" w:eastAsia="仿宋_GB2312" w:cs="Times New Roman"/>
          <w:sz w:val="32"/>
          <w:szCs w:val="32"/>
          <w:highlight w:val="none"/>
          <w:u w:val="none"/>
          <w:lang w:val="en-US" w:eastAsia="zh-CN"/>
        </w:rPr>
        <w:t>建立融资风险信息报告制度。在风险评估的基础上，对预计无法按期足额支付到期债务本息事项，应提前3个月以上</w:t>
      </w:r>
      <w:r>
        <w:rPr>
          <w:rFonts w:hint="eastAsia" w:ascii="Times New Roman" w:hAnsi="Times New Roman" w:eastAsia="仿宋_GB2312" w:cs="Times New Roman"/>
          <w:sz w:val="32"/>
          <w:szCs w:val="32"/>
          <w:u w:val="none"/>
          <w:lang w:val="en-US" w:eastAsia="zh-CN"/>
        </w:rPr>
        <w:t>书面逐级报告市国投集团。不得瞒报、迟报、漏报、谎报。报告主要包括预计发生违约债务类别、债务人、债权人、期限、本息、风险发生原因、事态发展趋势、可能造成的损失或影响、已采取及拟采取的应对措施等内容。</w:t>
      </w:r>
    </w:p>
    <w:p w14:paraId="1EA40B47">
      <w:pPr>
        <w:numPr>
          <w:ilvl w:val="0"/>
          <w:numId w:val="2"/>
        </w:numPr>
        <w:spacing w:line="600" w:lineRule="exact"/>
        <w:ind w:left="-10" w:leftChars="0" w:firstLine="640" w:firstLineChars="0"/>
        <w:rPr>
          <w:rFonts w:hint="default" w:ascii="Times New Roman" w:hAnsi="Times New Roman" w:eastAsia="仿宋_GB2312" w:cs="Times New Roman"/>
          <w:b w:val="0"/>
          <w:bCs w:val="0"/>
          <w:color w:val="FF0000"/>
          <w:sz w:val="32"/>
          <w:szCs w:val="32"/>
          <w:u w:val="none"/>
          <w:lang w:val="en-US" w:eastAsia="zh-CN"/>
        </w:rPr>
      </w:pPr>
      <w:r>
        <w:rPr>
          <w:rFonts w:hint="eastAsia" w:ascii="Times New Roman" w:hAnsi="Times New Roman" w:eastAsia="仿宋_GB2312" w:cs="Times New Roman"/>
          <w:b w:val="0"/>
          <w:bCs w:val="0"/>
          <w:color w:val="auto"/>
          <w:sz w:val="32"/>
          <w:szCs w:val="32"/>
          <w:u w:val="none"/>
          <w:lang w:val="en-US" w:eastAsia="zh-CN"/>
        </w:rPr>
        <w:t>建立到期债务预警制度。</w:t>
      </w:r>
      <w:r>
        <w:rPr>
          <w:rFonts w:hint="eastAsia" w:ascii="Times New Roman" w:hAnsi="Times New Roman" w:eastAsia="仿宋_GB2312" w:cs="Times New Roman"/>
          <w:sz w:val="32"/>
          <w:szCs w:val="32"/>
          <w:u w:val="none"/>
          <w:lang w:val="en-US" w:eastAsia="zh-CN"/>
        </w:rPr>
        <w:t>对各企业预期无法按期足额支付的到期债务，市国投集团应提前1</w:t>
      </w:r>
      <w:r>
        <w:rPr>
          <w:rFonts w:hint="eastAsia" w:ascii="Times New Roman" w:hAnsi="Times New Roman" w:eastAsia="仿宋_GB2312" w:cs="Times New Roman"/>
          <w:b w:val="0"/>
          <w:bCs w:val="0"/>
          <w:color w:val="auto"/>
          <w:sz w:val="32"/>
          <w:szCs w:val="32"/>
          <w:u w:val="none"/>
          <w:lang w:val="en-US" w:eastAsia="zh-CN"/>
        </w:rPr>
        <w:t>个月下发到期债务提示函。各企业要高度重视债务风险防范工作，切实加强对自身及所属各级子企业到期债务的预警和处置工作。</w:t>
      </w:r>
    </w:p>
    <w:p w14:paraId="18A11CCF">
      <w:pPr>
        <w:numPr>
          <w:ilvl w:val="0"/>
          <w:numId w:val="3"/>
        </w:numPr>
        <w:spacing w:line="600" w:lineRule="exact"/>
        <w:ind w:firstLine="640" w:firstLineChars="200"/>
        <w:rPr>
          <w:rFonts w:hint="default" w:ascii="Times New Roman" w:hAnsi="Times New Roman" w:eastAsia="仿宋_GB2312" w:cs="Times New Roman"/>
          <w:b/>
          <w:bCs/>
          <w:sz w:val="32"/>
          <w:szCs w:val="32"/>
          <w:u w:val="none"/>
          <w:lang w:val="en-US" w:eastAsia="zh-CN"/>
        </w:rPr>
      </w:pPr>
      <w:r>
        <w:rPr>
          <w:rFonts w:hint="eastAsia" w:ascii="Times New Roman" w:hAnsi="Times New Roman" w:eastAsia="仿宋_GB2312" w:cs="Times New Roman"/>
          <w:sz w:val="32"/>
          <w:szCs w:val="32"/>
          <w:u w:val="none"/>
          <w:lang w:val="en-US" w:eastAsia="zh-CN"/>
        </w:rPr>
        <w:t xml:space="preserve"> 企业要加强所属企业资产负债约束日常管理，防止有息债务和或有债务过度累积，确保资产负债率保持在合理水平。</w:t>
      </w:r>
    </w:p>
    <w:p w14:paraId="7ED4033B">
      <w:pPr>
        <w:numPr>
          <w:ilvl w:val="0"/>
          <w:numId w:val="0"/>
        </w:numPr>
        <w:spacing w:line="600" w:lineRule="exact"/>
        <w:rPr>
          <w:rFonts w:hint="default" w:ascii="Times New Roman" w:hAnsi="Times New Roman" w:eastAsia="仿宋_GB2312" w:cs="Times New Roman"/>
          <w:sz w:val="32"/>
          <w:szCs w:val="32"/>
          <w:u w:val="none"/>
          <w:lang w:val="en-US" w:eastAsia="zh-CN"/>
        </w:rPr>
      </w:pPr>
    </w:p>
    <w:p w14:paraId="424FCF26">
      <w:pPr>
        <w:spacing w:line="600" w:lineRule="exact"/>
        <w:jc w:val="center"/>
        <w:rPr>
          <w:rFonts w:eastAsia="黑体"/>
          <w:sz w:val="32"/>
          <w:szCs w:val="32"/>
          <w:u w:val="none"/>
        </w:rPr>
      </w:pPr>
      <w:r>
        <w:rPr>
          <w:rFonts w:ascii="Times New Roman" w:hAnsi="Times New Roman" w:eastAsia="黑体" w:cs="Times New Roman"/>
          <w:sz w:val="32"/>
          <w:szCs w:val="32"/>
          <w:u w:val="none"/>
        </w:rPr>
        <w:t>第三章  融资方案</w:t>
      </w:r>
    </w:p>
    <w:p w14:paraId="4BFD1CE2">
      <w:pPr>
        <w:pStyle w:val="4"/>
        <w:numPr>
          <w:ilvl w:val="0"/>
          <w:numId w:val="0"/>
        </w:numPr>
        <w:spacing w:line="600" w:lineRule="exact"/>
        <w:ind w:firstLine="640" w:firstLineChars="200"/>
        <w:rPr>
          <w:rFonts w:eastAsia="仿宋_GB2312"/>
          <w:sz w:val="32"/>
          <w:szCs w:val="32"/>
          <w:u w:val="none"/>
        </w:rPr>
      </w:pPr>
      <w:r>
        <w:rPr>
          <w:rFonts w:eastAsia="黑体"/>
          <w:sz w:val="32"/>
          <w:szCs w:val="32"/>
          <w:u w:val="none"/>
        </w:rPr>
        <w:t>第</w:t>
      </w:r>
      <w:r>
        <w:rPr>
          <w:rFonts w:hint="eastAsia" w:eastAsia="黑体"/>
          <w:sz w:val="32"/>
          <w:szCs w:val="32"/>
          <w:u w:val="none"/>
          <w:lang w:eastAsia="zh-CN"/>
        </w:rPr>
        <w:t>八</w:t>
      </w:r>
      <w:r>
        <w:rPr>
          <w:rFonts w:eastAsia="黑体"/>
          <w:sz w:val="32"/>
          <w:szCs w:val="32"/>
          <w:u w:val="none"/>
        </w:rPr>
        <w:t>条</w:t>
      </w:r>
      <w:r>
        <w:rPr>
          <w:rFonts w:eastAsia="仿宋_GB2312"/>
          <w:b/>
          <w:bCs/>
          <w:sz w:val="32"/>
          <w:szCs w:val="32"/>
          <w:u w:val="none"/>
        </w:rPr>
        <w:t xml:space="preserve">  </w:t>
      </w:r>
      <w:r>
        <w:rPr>
          <w:rFonts w:eastAsia="仿宋_GB2312"/>
          <w:sz w:val="32"/>
          <w:szCs w:val="32"/>
          <w:u w:val="none"/>
        </w:rPr>
        <w:t>融资方案是融资业务审核的文件依据，包括但不限于以下内容：</w:t>
      </w:r>
    </w:p>
    <w:p w14:paraId="1CA88295">
      <w:pPr>
        <w:pStyle w:val="4"/>
        <w:numPr>
          <w:ilvl w:val="0"/>
          <w:numId w:val="0"/>
        </w:numPr>
        <w:spacing w:line="600" w:lineRule="exact"/>
        <w:ind w:firstLine="640" w:firstLineChars="200"/>
        <w:rPr>
          <w:rFonts w:eastAsia="仿宋_GB2312"/>
          <w:sz w:val="32"/>
          <w:szCs w:val="32"/>
          <w:u w:val="none"/>
        </w:rPr>
      </w:pPr>
      <w:r>
        <w:rPr>
          <w:rFonts w:eastAsia="仿宋_GB2312"/>
          <w:sz w:val="32"/>
          <w:szCs w:val="32"/>
          <w:u w:val="none"/>
        </w:rPr>
        <w:t>（一）融资主体及融资类型；</w:t>
      </w:r>
    </w:p>
    <w:p w14:paraId="51F7176F">
      <w:pPr>
        <w:pStyle w:val="4"/>
        <w:numPr>
          <w:ilvl w:val="0"/>
          <w:numId w:val="0"/>
        </w:numPr>
        <w:spacing w:line="600" w:lineRule="exact"/>
        <w:ind w:firstLine="640" w:firstLineChars="200"/>
        <w:rPr>
          <w:rFonts w:eastAsia="仿宋_GB2312"/>
          <w:b w:val="0"/>
          <w:bCs w:val="0"/>
          <w:color w:val="auto"/>
          <w:sz w:val="32"/>
          <w:szCs w:val="32"/>
          <w:u w:val="none"/>
        </w:rPr>
      </w:pPr>
      <w:r>
        <w:rPr>
          <w:rFonts w:eastAsia="仿宋_GB2312"/>
          <w:sz w:val="32"/>
          <w:szCs w:val="32"/>
          <w:u w:val="none"/>
        </w:rPr>
        <w:t>（二）</w:t>
      </w:r>
      <w:r>
        <w:rPr>
          <w:rFonts w:eastAsia="仿宋_GB2312"/>
          <w:b w:val="0"/>
          <w:bCs w:val="0"/>
          <w:color w:val="auto"/>
          <w:sz w:val="32"/>
          <w:szCs w:val="32"/>
          <w:u w:val="none"/>
        </w:rPr>
        <w:t>融资的金额、期限、资金成本；</w:t>
      </w:r>
    </w:p>
    <w:p w14:paraId="007FA9F2">
      <w:pPr>
        <w:pStyle w:val="4"/>
        <w:numPr>
          <w:ilvl w:val="0"/>
          <w:numId w:val="0"/>
        </w:numPr>
        <w:spacing w:line="600" w:lineRule="exact"/>
        <w:ind w:firstLine="640" w:firstLineChars="200"/>
        <w:rPr>
          <w:rFonts w:eastAsia="仿宋_GB2312"/>
          <w:b w:val="0"/>
          <w:bCs w:val="0"/>
          <w:color w:val="auto"/>
          <w:sz w:val="32"/>
          <w:szCs w:val="32"/>
          <w:u w:val="none"/>
        </w:rPr>
      </w:pPr>
      <w:r>
        <w:rPr>
          <w:rFonts w:eastAsia="仿宋_GB2312"/>
          <w:b w:val="0"/>
          <w:bCs w:val="0"/>
          <w:color w:val="auto"/>
          <w:sz w:val="32"/>
          <w:szCs w:val="32"/>
          <w:u w:val="none"/>
        </w:rPr>
        <w:t>（三）融资资金的用途；</w:t>
      </w:r>
    </w:p>
    <w:p w14:paraId="22C9E584">
      <w:pPr>
        <w:pStyle w:val="4"/>
        <w:numPr>
          <w:ilvl w:val="0"/>
          <w:numId w:val="0"/>
        </w:numPr>
        <w:spacing w:line="600" w:lineRule="exact"/>
        <w:ind w:firstLine="640" w:firstLineChars="200"/>
        <w:rPr>
          <w:rFonts w:hint="eastAsia" w:eastAsia="仿宋_GB2312"/>
          <w:b w:val="0"/>
          <w:bCs w:val="0"/>
          <w:color w:val="auto"/>
          <w:sz w:val="32"/>
          <w:szCs w:val="32"/>
          <w:u w:val="none"/>
          <w:lang w:eastAsia="zh-CN"/>
        </w:rPr>
      </w:pPr>
      <w:r>
        <w:rPr>
          <w:rFonts w:hint="eastAsia" w:eastAsia="仿宋_GB2312"/>
          <w:b w:val="0"/>
          <w:bCs w:val="0"/>
          <w:color w:val="auto"/>
          <w:sz w:val="32"/>
          <w:szCs w:val="32"/>
          <w:u w:val="none"/>
          <w:lang w:eastAsia="zh-CN"/>
        </w:rPr>
        <w:t>（四）还款来源；</w:t>
      </w:r>
    </w:p>
    <w:p w14:paraId="45D84090">
      <w:pPr>
        <w:pStyle w:val="4"/>
        <w:numPr>
          <w:ilvl w:val="0"/>
          <w:numId w:val="0"/>
        </w:numPr>
        <w:spacing w:line="600" w:lineRule="exact"/>
        <w:ind w:firstLine="640" w:firstLineChars="200"/>
        <w:rPr>
          <w:rFonts w:eastAsia="仿宋_GB2312"/>
          <w:b w:val="0"/>
          <w:bCs w:val="0"/>
          <w:color w:val="auto"/>
          <w:sz w:val="32"/>
          <w:szCs w:val="32"/>
          <w:u w:val="none"/>
        </w:rPr>
      </w:pPr>
      <w:r>
        <w:rPr>
          <w:rFonts w:eastAsia="仿宋_GB2312"/>
          <w:b w:val="0"/>
          <w:bCs w:val="0"/>
          <w:color w:val="auto"/>
          <w:sz w:val="32"/>
          <w:szCs w:val="32"/>
          <w:u w:val="none"/>
        </w:rPr>
        <w:t>（</w:t>
      </w:r>
      <w:r>
        <w:rPr>
          <w:rFonts w:hint="eastAsia" w:eastAsia="仿宋_GB2312"/>
          <w:b w:val="0"/>
          <w:bCs w:val="0"/>
          <w:color w:val="auto"/>
          <w:sz w:val="32"/>
          <w:szCs w:val="32"/>
          <w:u w:val="none"/>
          <w:lang w:eastAsia="zh-CN"/>
        </w:rPr>
        <w:t>五</w:t>
      </w:r>
      <w:r>
        <w:rPr>
          <w:rFonts w:eastAsia="仿宋_GB2312"/>
          <w:b w:val="0"/>
          <w:bCs w:val="0"/>
          <w:color w:val="auto"/>
          <w:sz w:val="32"/>
          <w:szCs w:val="32"/>
          <w:u w:val="none"/>
        </w:rPr>
        <w:t>）融资担保情况。</w:t>
      </w:r>
    </w:p>
    <w:p w14:paraId="2E98F76B">
      <w:pPr>
        <w:spacing w:line="600" w:lineRule="exact"/>
        <w:ind w:firstLine="640" w:firstLineChars="200"/>
        <w:rPr>
          <w:rFonts w:eastAsia="仿宋_GB2312"/>
          <w:sz w:val="32"/>
          <w:szCs w:val="32"/>
          <w:u w:val="none"/>
        </w:rPr>
      </w:pPr>
      <w:r>
        <w:rPr>
          <w:rFonts w:ascii="Times New Roman" w:hAnsi="Times New Roman" w:eastAsia="黑体" w:cs="Times New Roman"/>
          <w:sz w:val="32"/>
          <w:szCs w:val="32"/>
          <w:u w:val="none"/>
        </w:rPr>
        <w:t>第</w:t>
      </w:r>
      <w:r>
        <w:rPr>
          <w:rFonts w:hint="eastAsia" w:ascii="Times New Roman" w:hAnsi="Times New Roman" w:eastAsia="黑体" w:cs="Times New Roman"/>
          <w:sz w:val="32"/>
          <w:szCs w:val="32"/>
          <w:u w:val="none"/>
          <w:lang w:eastAsia="zh-CN"/>
        </w:rPr>
        <w:t>九</w:t>
      </w:r>
      <w:r>
        <w:rPr>
          <w:rFonts w:ascii="Times New Roman" w:hAnsi="Times New Roman" w:eastAsia="黑体" w:cs="Times New Roman"/>
          <w:sz w:val="32"/>
          <w:szCs w:val="32"/>
          <w:u w:val="none"/>
        </w:rPr>
        <w:t xml:space="preserve">条 </w:t>
      </w:r>
      <w:r>
        <w:rPr>
          <w:rFonts w:ascii="Times New Roman" w:hAnsi="Times New Roman" w:eastAsia="仿宋_GB2312" w:cs="Times New Roman"/>
          <w:b/>
          <w:bCs/>
          <w:sz w:val="32"/>
          <w:szCs w:val="32"/>
          <w:u w:val="none"/>
        </w:rPr>
        <w:t xml:space="preserve"> </w:t>
      </w:r>
      <w:r>
        <w:rPr>
          <w:rFonts w:ascii="Times New Roman" w:hAnsi="Times New Roman" w:eastAsia="仿宋_GB2312" w:cs="Times New Roman"/>
          <w:sz w:val="32"/>
          <w:szCs w:val="32"/>
          <w:u w:val="none"/>
        </w:rPr>
        <w:t>根据公司现有融资渠道及发展方向，公司对外融资的类型包含但不限于以下方面：</w:t>
      </w:r>
    </w:p>
    <w:p w14:paraId="67062A7E">
      <w:pPr>
        <w:pStyle w:val="4"/>
        <w:numPr>
          <w:ilvl w:val="0"/>
          <w:numId w:val="0"/>
        </w:numPr>
        <w:spacing w:line="600" w:lineRule="exact"/>
        <w:ind w:firstLine="640" w:firstLineChars="200"/>
        <w:rPr>
          <w:rFonts w:eastAsia="仿宋_GB2312"/>
          <w:sz w:val="32"/>
          <w:szCs w:val="32"/>
          <w:u w:val="none"/>
        </w:rPr>
      </w:pPr>
      <w:r>
        <w:rPr>
          <w:rFonts w:eastAsia="仿宋_GB2312"/>
          <w:sz w:val="32"/>
          <w:szCs w:val="32"/>
          <w:u w:val="none"/>
        </w:rPr>
        <w:t>（一）金融机构及国家政策性银行的信贷资金；</w:t>
      </w:r>
    </w:p>
    <w:p w14:paraId="0CA9A616">
      <w:pPr>
        <w:pStyle w:val="4"/>
        <w:numPr>
          <w:ilvl w:val="0"/>
          <w:numId w:val="0"/>
        </w:numPr>
        <w:spacing w:line="600" w:lineRule="exact"/>
        <w:ind w:firstLine="640" w:firstLineChars="200"/>
        <w:rPr>
          <w:rFonts w:eastAsia="仿宋_GB2312"/>
          <w:sz w:val="32"/>
          <w:szCs w:val="32"/>
          <w:u w:val="none"/>
        </w:rPr>
      </w:pPr>
      <w:r>
        <w:rPr>
          <w:rFonts w:eastAsia="仿宋_GB2312"/>
          <w:sz w:val="32"/>
          <w:szCs w:val="32"/>
          <w:u w:val="none"/>
        </w:rPr>
        <w:t>（二）企业债券（企业债、公司债、境外债）；</w:t>
      </w:r>
    </w:p>
    <w:p w14:paraId="1E6F91B9">
      <w:pPr>
        <w:pStyle w:val="4"/>
        <w:numPr>
          <w:ilvl w:val="0"/>
          <w:numId w:val="0"/>
        </w:numPr>
        <w:spacing w:line="600" w:lineRule="exact"/>
        <w:ind w:firstLine="640" w:firstLineChars="200"/>
        <w:rPr>
          <w:rFonts w:eastAsia="仿宋_GB2312"/>
          <w:sz w:val="32"/>
          <w:szCs w:val="32"/>
          <w:u w:val="none"/>
        </w:rPr>
      </w:pPr>
      <w:r>
        <w:rPr>
          <w:rFonts w:eastAsia="仿宋_GB2312"/>
          <w:sz w:val="32"/>
          <w:szCs w:val="32"/>
          <w:u w:val="none"/>
        </w:rPr>
        <w:t>（三）银行间债券市场产品（中期票据、短期融资券、超短期融资券、PPN）；</w:t>
      </w:r>
    </w:p>
    <w:p w14:paraId="085B32C4">
      <w:pPr>
        <w:pStyle w:val="4"/>
        <w:numPr>
          <w:ilvl w:val="0"/>
          <w:numId w:val="0"/>
        </w:numPr>
        <w:spacing w:line="600" w:lineRule="exact"/>
        <w:ind w:firstLine="640" w:firstLineChars="200"/>
        <w:rPr>
          <w:rFonts w:eastAsia="仿宋_GB2312"/>
          <w:sz w:val="32"/>
          <w:szCs w:val="32"/>
          <w:u w:val="none"/>
        </w:rPr>
      </w:pPr>
      <w:r>
        <w:rPr>
          <w:rFonts w:eastAsia="仿宋_GB2312"/>
          <w:sz w:val="32"/>
          <w:szCs w:val="32"/>
          <w:u w:val="none"/>
        </w:rPr>
        <w:t>（四）融资租赁、信托资金；</w:t>
      </w:r>
    </w:p>
    <w:p w14:paraId="131CCB18">
      <w:pPr>
        <w:pStyle w:val="4"/>
        <w:numPr>
          <w:ilvl w:val="0"/>
          <w:numId w:val="0"/>
        </w:numPr>
        <w:spacing w:line="600" w:lineRule="exact"/>
        <w:ind w:firstLine="640" w:firstLineChars="200"/>
        <w:rPr>
          <w:rFonts w:eastAsia="仿宋_GB2312"/>
          <w:sz w:val="32"/>
          <w:szCs w:val="32"/>
          <w:u w:val="none"/>
        </w:rPr>
      </w:pPr>
      <w:r>
        <w:rPr>
          <w:rFonts w:eastAsia="仿宋_GB2312"/>
          <w:sz w:val="32"/>
          <w:szCs w:val="32"/>
          <w:u w:val="none"/>
        </w:rPr>
        <w:t>（五）其他资金。</w:t>
      </w:r>
    </w:p>
    <w:p w14:paraId="5B7320B7">
      <w:pPr>
        <w:pStyle w:val="4"/>
        <w:numPr>
          <w:ilvl w:val="0"/>
          <w:numId w:val="0"/>
        </w:numPr>
        <w:spacing w:line="600" w:lineRule="exact"/>
        <w:ind w:firstLine="640" w:firstLineChars="200"/>
        <w:rPr>
          <w:rFonts w:eastAsia="仿宋_GB2312"/>
          <w:b/>
          <w:bCs/>
          <w:color w:val="FF0000"/>
          <w:sz w:val="32"/>
          <w:szCs w:val="32"/>
          <w:u w:val="none"/>
        </w:rPr>
      </w:pPr>
      <w:r>
        <w:rPr>
          <w:rFonts w:eastAsia="黑体"/>
          <w:sz w:val="32"/>
          <w:szCs w:val="32"/>
          <w:u w:val="none"/>
        </w:rPr>
        <w:t>第</w:t>
      </w:r>
      <w:r>
        <w:rPr>
          <w:rFonts w:hint="eastAsia" w:eastAsia="黑体"/>
          <w:sz w:val="32"/>
          <w:szCs w:val="32"/>
          <w:u w:val="none"/>
          <w:lang w:eastAsia="zh-CN"/>
        </w:rPr>
        <w:t>十</w:t>
      </w:r>
      <w:r>
        <w:rPr>
          <w:rFonts w:eastAsia="黑体"/>
          <w:sz w:val="32"/>
          <w:szCs w:val="32"/>
          <w:u w:val="none"/>
        </w:rPr>
        <w:t>条</w:t>
      </w:r>
      <w:r>
        <w:rPr>
          <w:rFonts w:eastAsia="仿宋_GB2312"/>
          <w:b/>
          <w:bCs/>
          <w:sz w:val="32"/>
          <w:szCs w:val="32"/>
          <w:u w:val="none"/>
        </w:rPr>
        <w:t xml:space="preserve">  </w:t>
      </w:r>
      <w:r>
        <w:rPr>
          <w:rFonts w:eastAsia="仿宋_GB2312"/>
          <w:b w:val="0"/>
          <w:bCs w:val="0"/>
          <w:color w:val="auto"/>
          <w:sz w:val="32"/>
          <w:szCs w:val="32"/>
          <w:u w:val="none"/>
        </w:rPr>
        <w:t>融资成本控制。</w:t>
      </w:r>
      <w:r>
        <w:rPr>
          <w:rFonts w:hint="eastAsia" w:eastAsia="仿宋_GB2312"/>
          <w:b w:val="0"/>
          <w:bCs w:val="0"/>
          <w:color w:val="auto"/>
          <w:sz w:val="32"/>
          <w:szCs w:val="32"/>
          <w:u w:val="none"/>
          <w:lang w:val="en-US" w:eastAsia="zh-CN"/>
        </w:rPr>
        <w:t>各个企业的融资成本需在市国资监管机构年度考核确定的范围内执行。</w:t>
      </w:r>
      <w:r>
        <w:rPr>
          <w:rFonts w:eastAsia="仿宋_GB2312"/>
          <w:b w:val="0"/>
          <w:bCs w:val="0"/>
          <w:color w:val="auto"/>
          <w:sz w:val="32"/>
          <w:szCs w:val="32"/>
          <w:u w:val="none"/>
        </w:rPr>
        <w:t>在不同时期，市</w:t>
      </w:r>
      <w:r>
        <w:rPr>
          <w:rFonts w:hint="eastAsia" w:eastAsia="仿宋_GB2312"/>
          <w:b w:val="0"/>
          <w:bCs w:val="0"/>
          <w:color w:val="auto"/>
          <w:sz w:val="32"/>
          <w:szCs w:val="32"/>
          <w:u w:val="none"/>
          <w:lang w:eastAsia="zh-CN"/>
        </w:rPr>
        <w:t>国资监管机构会同市国投集团</w:t>
      </w:r>
      <w:r>
        <w:rPr>
          <w:rFonts w:eastAsia="仿宋_GB2312"/>
          <w:b w:val="0"/>
          <w:bCs w:val="0"/>
          <w:color w:val="auto"/>
          <w:sz w:val="32"/>
          <w:szCs w:val="32"/>
          <w:u w:val="none"/>
        </w:rPr>
        <w:t>提出融资成本指导价</w:t>
      </w:r>
      <w:r>
        <w:rPr>
          <w:rFonts w:hint="eastAsia" w:eastAsia="仿宋_GB2312"/>
          <w:b w:val="0"/>
          <w:bCs w:val="0"/>
          <w:color w:val="auto"/>
          <w:sz w:val="32"/>
          <w:szCs w:val="32"/>
          <w:u w:val="none"/>
          <w:lang w:eastAsia="zh-CN"/>
        </w:rPr>
        <w:t>，</w:t>
      </w:r>
      <w:r>
        <w:rPr>
          <w:rFonts w:hint="eastAsia" w:eastAsia="仿宋_GB2312"/>
          <w:b w:val="0"/>
          <w:bCs w:val="0"/>
          <w:color w:val="auto"/>
          <w:sz w:val="32"/>
          <w:szCs w:val="32"/>
          <w:u w:val="none"/>
          <w:lang w:val="en-US" w:eastAsia="zh-CN"/>
        </w:rPr>
        <w:t>并以函件形式联合下发</w:t>
      </w:r>
      <w:r>
        <w:rPr>
          <w:rFonts w:eastAsia="仿宋_GB2312"/>
          <w:b w:val="0"/>
          <w:bCs w:val="0"/>
          <w:color w:val="auto"/>
          <w:sz w:val="32"/>
          <w:szCs w:val="32"/>
          <w:u w:val="none"/>
        </w:rPr>
        <w:t>。</w:t>
      </w:r>
    </w:p>
    <w:p w14:paraId="4EE5CAB5">
      <w:pPr>
        <w:pStyle w:val="4"/>
        <w:numPr>
          <w:ilvl w:val="0"/>
          <w:numId w:val="0"/>
        </w:numPr>
        <w:spacing w:line="600" w:lineRule="exact"/>
        <w:ind w:firstLine="640" w:firstLineChars="200"/>
        <w:rPr>
          <w:rFonts w:hint="default" w:eastAsia="仿宋_GB2312"/>
          <w:color w:val="auto"/>
          <w:sz w:val="32"/>
          <w:szCs w:val="32"/>
          <w:u w:val="none"/>
          <w:lang w:val="en-US" w:eastAsia="zh-CN"/>
        </w:rPr>
      </w:pPr>
    </w:p>
    <w:p w14:paraId="064D3952">
      <w:pPr>
        <w:spacing w:line="600" w:lineRule="exact"/>
        <w:jc w:val="center"/>
        <w:rPr>
          <w:rFonts w:eastAsia="黑体"/>
          <w:color w:val="auto"/>
          <w:sz w:val="32"/>
          <w:szCs w:val="32"/>
          <w:u w:val="none"/>
        </w:rPr>
      </w:pPr>
      <w:r>
        <w:rPr>
          <w:rFonts w:ascii="Times New Roman" w:hAnsi="Times New Roman" w:eastAsia="黑体" w:cs="Times New Roman"/>
          <w:color w:val="auto"/>
          <w:sz w:val="32"/>
          <w:szCs w:val="32"/>
          <w:u w:val="none"/>
        </w:rPr>
        <w:t>第四章  融资事项管理</w:t>
      </w:r>
    </w:p>
    <w:p w14:paraId="76B64D69">
      <w:pPr>
        <w:pStyle w:val="4"/>
        <w:numPr>
          <w:ilvl w:val="0"/>
          <w:numId w:val="0"/>
        </w:numPr>
        <w:spacing w:line="600" w:lineRule="exact"/>
        <w:ind w:firstLine="640" w:firstLineChars="200"/>
        <w:rPr>
          <w:rFonts w:eastAsia="仿宋_GB2312"/>
          <w:color w:val="auto"/>
          <w:sz w:val="32"/>
          <w:szCs w:val="32"/>
          <w:u w:val="none"/>
        </w:rPr>
      </w:pPr>
      <w:r>
        <w:rPr>
          <w:rFonts w:eastAsia="黑体"/>
          <w:color w:val="auto"/>
          <w:sz w:val="32"/>
          <w:szCs w:val="32"/>
          <w:u w:val="none"/>
        </w:rPr>
        <w:t>第</w:t>
      </w:r>
      <w:r>
        <w:rPr>
          <w:rFonts w:hint="eastAsia" w:eastAsia="黑体"/>
          <w:color w:val="auto"/>
          <w:sz w:val="32"/>
          <w:szCs w:val="32"/>
          <w:u w:val="none"/>
          <w:lang w:eastAsia="zh-CN"/>
        </w:rPr>
        <w:t>十一</w:t>
      </w:r>
      <w:r>
        <w:rPr>
          <w:rFonts w:eastAsia="黑体"/>
          <w:color w:val="auto"/>
          <w:sz w:val="32"/>
          <w:szCs w:val="32"/>
          <w:u w:val="none"/>
        </w:rPr>
        <w:t>条</w:t>
      </w:r>
      <w:r>
        <w:rPr>
          <w:rFonts w:eastAsia="仿宋_GB2312"/>
          <w:color w:val="auto"/>
          <w:sz w:val="32"/>
          <w:szCs w:val="32"/>
          <w:u w:val="none"/>
        </w:rPr>
        <w:t xml:space="preserve">  根据</w:t>
      </w:r>
      <w:r>
        <w:rPr>
          <w:rFonts w:hint="eastAsia" w:eastAsia="仿宋_GB2312"/>
          <w:color w:val="auto"/>
          <w:sz w:val="32"/>
          <w:szCs w:val="32"/>
          <w:u w:val="none"/>
          <w:lang w:eastAsia="zh-CN"/>
        </w:rPr>
        <w:t>企业</w:t>
      </w:r>
      <w:r>
        <w:rPr>
          <w:rFonts w:eastAsia="仿宋_GB2312"/>
          <w:color w:val="auto"/>
          <w:sz w:val="32"/>
          <w:szCs w:val="32"/>
          <w:u w:val="none"/>
        </w:rPr>
        <w:t>战略发展，对所属</w:t>
      </w:r>
      <w:r>
        <w:rPr>
          <w:rFonts w:hint="eastAsia" w:eastAsia="仿宋_GB2312"/>
          <w:color w:val="auto"/>
          <w:sz w:val="32"/>
          <w:szCs w:val="32"/>
          <w:u w:val="none"/>
          <w:lang w:eastAsia="zh-CN"/>
        </w:rPr>
        <w:t>企业</w:t>
      </w:r>
      <w:r>
        <w:rPr>
          <w:rFonts w:eastAsia="仿宋_GB2312"/>
          <w:color w:val="auto"/>
          <w:sz w:val="32"/>
          <w:szCs w:val="32"/>
          <w:u w:val="none"/>
        </w:rPr>
        <w:t>融资活动的推进情况及时跟踪管理，提高资金运作效率，保证融资活动安全、合法有效进行，防范债务风险、经营风险。</w:t>
      </w:r>
    </w:p>
    <w:p w14:paraId="2D80D768">
      <w:pPr>
        <w:pStyle w:val="4"/>
        <w:numPr>
          <w:ilvl w:val="0"/>
          <w:numId w:val="0"/>
        </w:numPr>
        <w:spacing w:line="600" w:lineRule="exact"/>
        <w:ind w:firstLine="640" w:firstLineChars="200"/>
        <w:rPr>
          <w:rFonts w:hint="default" w:eastAsia="仿宋_GB2312"/>
          <w:b/>
          <w:bCs/>
          <w:color w:val="auto"/>
          <w:sz w:val="32"/>
          <w:szCs w:val="32"/>
          <w:u w:val="none"/>
          <w:lang w:val="en-US" w:eastAsia="zh-CN"/>
        </w:rPr>
      </w:pPr>
      <w:r>
        <w:rPr>
          <w:rFonts w:eastAsia="黑体"/>
          <w:color w:val="auto"/>
          <w:sz w:val="32"/>
          <w:szCs w:val="32"/>
          <w:u w:val="none"/>
        </w:rPr>
        <w:t>第十</w:t>
      </w:r>
      <w:r>
        <w:rPr>
          <w:rFonts w:hint="eastAsia" w:eastAsia="黑体"/>
          <w:color w:val="auto"/>
          <w:sz w:val="32"/>
          <w:szCs w:val="32"/>
          <w:u w:val="none"/>
          <w:lang w:eastAsia="zh-CN"/>
        </w:rPr>
        <w:t>二</w:t>
      </w:r>
      <w:r>
        <w:rPr>
          <w:rFonts w:eastAsia="黑体"/>
          <w:color w:val="auto"/>
          <w:sz w:val="32"/>
          <w:szCs w:val="32"/>
          <w:u w:val="none"/>
        </w:rPr>
        <w:t>条</w:t>
      </w:r>
      <w:r>
        <w:rPr>
          <w:rFonts w:eastAsia="仿宋_GB2312"/>
          <w:color w:val="auto"/>
          <w:sz w:val="32"/>
          <w:szCs w:val="32"/>
          <w:u w:val="none"/>
        </w:rPr>
        <w:t xml:space="preserve">  </w:t>
      </w:r>
      <w:r>
        <w:rPr>
          <w:rFonts w:eastAsia="仿宋_GB2312"/>
          <w:b w:val="0"/>
          <w:bCs w:val="0"/>
          <w:color w:val="auto"/>
          <w:sz w:val="32"/>
          <w:szCs w:val="32"/>
          <w:u w:val="none"/>
        </w:rPr>
        <w:t>年度投融资资金预算方案编报。每年12月底前，</w:t>
      </w:r>
      <w:r>
        <w:rPr>
          <w:rFonts w:hint="eastAsia" w:eastAsia="仿宋_GB2312"/>
          <w:b w:val="0"/>
          <w:bCs w:val="0"/>
          <w:color w:val="auto"/>
          <w:sz w:val="32"/>
          <w:szCs w:val="32"/>
          <w:u w:val="none"/>
          <w:lang w:val="en-US" w:eastAsia="zh-CN"/>
        </w:rPr>
        <w:t>各企业编制下一年度融资计划，委托管理国有企业融资计划需报经受托主管部门同意</w:t>
      </w:r>
      <w:r>
        <w:rPr>
          <w:rFonts w:hint="eastAsia" w:eastAsia="仿宋_GB2312"/>
          <w:b w:val="0"/>
          <w:bCs w:val="0"/>
          <w:color w:val="auto"/>
          <w:sz w:val="32"/>
          <w:szCs w:val="32"/>
          <w:u w:val="none"/>
          <w:lang w:val="en-US" w:eastAsia="zh-CN"/>
        </w:rPr>
        <w:t>。各企业汇总本级及其子公司（含委托管理子公司）</w:t>
      </w:r>
      <w:r>
        <w:rPr>
          <w:rFonts w:hint="eastAsia" w:eastAsia="仿宋_GB2312"/>
          <w:b w:val="0"/>
          <w:bCs w:val="0"/>
          <w:color w:val="auto"/>
          <w:sz w:val="32"/>
          <w:szCs w:val="32"/>
          <w:u w:val="none"/>
          <w:lang w:val="en-US" w:eastAsia="zh-CN"/>
        </w:rPr>
        <w:t>下一年度融资计划，逐级上报</w:t>
      </w:r>
      <w:r>
        <w:rPr>
          <w:rFonts w:eastAsia="仿宋_GB2312"/>
          <w:b w:val="0"/>
          <w:bCs w:val="0"/>
          <w:color w:val="auto"/>
          <w:sz w:val="32"/>
          <w:szCs w:val="32"/>
          <w:u w:val="none"/>
        </w:rPr>
        <w:t>市</w:t>
      </w:r>
      <w:r>
        <w:rPr>
          <w:rFonts w:hint="eastAsia" w:eastAsia="仿宋_GB2312"/>
          <w:b w:val="0"/>
          <w:bCs w:val="0"/>
          <w:color w:val="auto"/>
          <w:sz w:val="32"/>
          <w:szCs w:val="32"/>
          <w:u w:val="none"/>
          <w:lang w:eastAsia="zh-CN"/>
        </w:rPr>
        <w:t>国投集团，由市国投集团汇总报送至市国资监管机构备案。</w:t>
      </w:r>
      <w:r>
        <w:rPr>
          <w:rFonts w:eastAsia="仿宋_GB2312"/>
          <w:b w:val="0"/>
          <w:bCs w:val="0"/>
          <w:color w:val="auto"/>
          <w:sz w:val="32"/>
          <w:szCs w:val="32"/>
          <w:u w:val="none"/>
        </w:rPr>
        <w:t>在次年</w:t>
      </w:r>
      <w:r>
        <w:rPr>
          <w:rFonts w:hint="eastAsia" w:eastAsia="仿宋_GB2312"/>
          <w:b w:val="0"/>
          <w:bCs w:val="0"/>
          <w:color w:val="auto"/>
          <w:sz w:val="32"/>
          <w:szCs w:val="32"/>
          <w:u w:val="none"/>
          <w:lang w:val="en-US" w:eastAsia="zh-CN"/>
        </w:rPr>
        <w:t>2</w:t>
      </w:r>
      <w:r>
        <w:rPr>
          <w:rFonts w:eastAsia="仿宋_GB2312"/>
          <w:b w:val="0"/>
          <w:bCs w:val="0"/>
          <w:color w:val="auto"/>
          <w:sz w:val="32"/>
          <w:szCs w:val="32"/>
          <w:u w:val="none"/>
        </w:rPr>
        <w:t>月底前</w:t>
      </w:r>
      <w:r>
        <w:rPr>
          <w:rFonts w:eastAsia="仿宋_GB2312"/>
          <w:b/>
          <w:bCs/>
          <w:color w:val="auto"/>
          <w:sz w:val="32"/>
          <w:szCs w:val="32"/>
          <w:u w:val="none"/>
        </w:rPr>
        <w:t>，</w:t>
      </w:r>
      <w:r>
        <w:rPr>
          <w:rFonts w:hint="eastAsia" w:eastAsia="仿宋_GB2312"/>
          <w:b w:val="0"/>
          <w:bCs w:val="0"/>
          <w:color w:val="auto"/>
          <w:sz w:val="32"/>
          <w:szCs w:val="32"/>
          <w:u w:val="none"/>
          <w:lang w:eastAsia="zh-CN"/>
        </w:rPr>
        <w:t>各企业根据</w:t>
      </w:r>
      <w:r>
        <w:rPr>
          <w:rFonts w:eastAsia="仿宋_GB2312"/>
          <w:b w:val="0"/>
          <w:bCs w:val="0"/>
          <w:color w:val="auto"/>
          <w:sz w:val="32"/>
          <w:szCs w:val="32"/>
          <w:u w:val="none"/>
        </w:rPr>
        <w:t>市政府投资计划及公司投资计划，对前期报送数据进行相应调整</w:t>
      </w:r>
      <w:r>
        <w:rPr>
          <w:rFonts w:hint="eastAsia" w:eastAsia="仿宋_GB2312"/>
          <w:b w:val="0"/>
          <w:bCs w:val="0"/>
          <w:color w:val="auto"/>
          <w:sz w:val="32"/>
          <w:szCs w:val="32"/>
          <w:u w:val="none"/>
          <w:lang w:eastAsia="zh-CN"/>
        </w:rPr>
        <w:t>后</w:t>
      </w:r>
      <w:r>
        <w:rPr>
          <w:rFonts w:eastAsia="仿宋_GB2312"/>
          <w:b w:val="0"/>
          <w:bCs w:val="0"/>
          <w:color w:val="auto"/>
          <w:sz w:val="32"/>
          <w:szCs w:val="32"/>
          <w:u w:val="none"/>
        </w:rPr>
        <w:t>报</w:t>
      </w:r>
      <w:r>
        <w:rPr>
          <w:rFonts w:hint="eastAsia" w:eastAsia="仿宋_GB2312"/>
          <w:b w:val="0"/>
          <w:bCs w:val="0"/>
          <w:color w:val="auto"/>
          <w:sz w:val="32"/>
          <w:szCs w:val="32"/>
          <w:u w:val="none"/>
          <w:lang w:eastAsia="zh-CN"/>
        </w:rPr>
        <w:t>市国投集团，经市国资监管机构和市国投集团审议后，报国企例会研究确定。</w:t>
      </w:r>
    </w:p>
    <w:p w14:paraId="0DC0E198">
      <w:pPr>
        <w:pStyle w:val="4"/>
        <w:numPr>
          <w:ilvl w:val="0"/>
          <w:numId w:val="0"/>
        </w:numPr>
        <w:spacing w:line="600" w:lineRule="exact"/>
        <w:ind w:firstLine="640" w:firstLineChars="200"/>
        <w:rPr>
          <w:rFonts w:eastAsia="仿宋_GB2312"/>
          <w:b/>
          <w:bCs/>
          <w:color w:val="auto"/>
          <w:sz w:val="32"/>
          <w:szCs w:val="32"/>
          <w:highlight w:val="none"/>
          <w:u w:val="none"/>
        </w:rPr>
      </w:pPr>
      <w:r>
        <w:rPr>
          <w:rFonts w:eastAsia="黑体"/>
          <w:color w:val="auto"/>
          <w:sz w:val="32"/>
          <w:szCs w:val="32"/>
          <w:u w:val="none"/>
        </w:rPr>
        <w:t>第十</w:t>
      </w:r>
      <w:r>
        <w:rPr>
          <w:rFonts w:hint="eastAsia" w:eastAsia="黑体"/>
          <w:color w:val="auto"/>
          <w:sz w:val="32"/>
          <w:szCs w:val="32"/>
          <w:u w:val="none"/>
          <w:lang w:eastAsia="zh-CN"/>
        </w:rPr>
        <w:t>三</w:t>
      </w:r>
      <w:r>
        <w:rPr>
          <w:rFonts w:eastAsia="黑体"/>
          <w:color w:val="auto"/>
          <w:sz w:val="32"/>
          <w:szCs w:val="32"/>
          <w:u w:val="none"/>
        </w:rPr>
        <w:t>条</w:t>
      </w:r>
      <w:r>
        <w:rPr>
          <w:rFonts w:eastAsia="仿宋_GB2312"/>
          <w:b/>
          <w:bCs/>
          <w:color w:val="auto"/>
          <w:sz w:val="32"/>
          <w:szCs w:val="32"/>
          <w:u w:val="none"/>
        </w:rPr>
        <w:t xml:space="preserve"> </w:t>
      </w:r>
      <w:r>
        <w:rPr>
          <w:rFonts w:eastAsia="仿宋_GB2312"/>
          <w:b/>
          <w:bCs/>
          <w:color w:val="auto"/>
          <w:sz w:val="32"/>
          <w:szCs w:val="32"/>
          <w:highlight w:val="none"/>
          <w:u w:val="none"/>
        </w:rPr>
        <w:t xml:space="preserve"> </w:t>
      </w:r>
      <w:r>
        <w:rPr>
          <w:rFonts w:eastAsia="仿宋_GB2312"/>
          <w:b w:val="0"/>
          <w:bCs/>
          <w:color w:val="auto"/>
          <w:sz w:val="32"/>
          <w:szCs w:val="32"/>
          <w:highlight w:val="none"/>
          <w:u w:val="none"/>
        </w:rPr>
        <w:t>融资计划下达</w:t>
      </w:r>
      <w:r>
        <w:rPr>
          <w:rFonts w:eastAsia="仿宋_GB2312"/>
          <w:b w:val="0"/>
          <w:bCs w:val="0"/>
          <w:color w:val="auto"/>
          <w:sz w:val="32"/>
          <w:szCs w:val="32"/>
          <w:u w:val="none"/>
        </w:rPr>
        <w:t>。</w:t>
      </w:r>
      <w:r>
        <w:rPr>
          <w:rFonts w:hint="eastAsia" w:eastAsia="仿宋_GB2312"/>
          <w:b w:val="0"/>
          <w:bCs w:val="0"/>
          <w:color w:val="auto"/>
          <w:sz w:val="32"/>
          <w:szCs w:val="32"/>
          <w:u w:val="none"/>
          <w:lang w:eastAsia="zh-CN"/>
        </w:rPr>
        <w:t>市国投集团</w:t>
      </w:r>
      <w:r>
        <w:rPr>
          <w:rFonts w:eastAsia="仿宋_GB2312"/>
          <w:b w:val="0"/>
          <w:bCs w:val="0"/>
          <w:color w:val="auto"/>
          <w:sz w:val="32"/>
          <w:szCs w:val="32"/>
          <w:u w:val="none"/>
        </w:rPr>
        <w:t>根据</w:t>
      </w:r>
      <w:r>
        <w:rPr>
          <w:rFonts w:hint="eastAsia" w:eastAsia="仿宋_GB2312"/>
          <w:b w:val="0"/>
          <w:bCs w:val="0"/>
          <w:color w:val="auto"/>
          <w:sz w:val="32"/>
          <w:szCs w:val="32"/>
          <w:u w:val="none"/>
          <w:lang w:eastAsia="zh-CN"/>
        </w:rPr>
        <w:t>国企例会研究确定的年度融资计划</w:t>
      </w:r>
      <w:r>
        <w:rPr>
          <w:rFonts w:eastAsia="仿宋_GB2312"/>
          <w:b w:val="0"/>
          <w:bCs w:val="0"/>
          <w:color w:val="auto"/>
          <w:sz w:val="32"/>
          <w:szCs w:val="32"/>
          <w:u w:val="none"/>
        </w:rPr>
        <w:t>及实际情况，分别</w:t>
      </w:r>
      <w:r>
        <w:rPr>
          <w:rFonts w:hint="eastAsia" w:eastAsia="仿宋_GB2312"/>
          <w:b w:val="0"/>
          <w:bCs w:val="0"/>
          <w:color w:val="auto"/>
          <w:sz w:val="32"/>
          <w:szCs w:val="32"/>
          <w:u w:val="none"/>
          <w:lang w:eastAsia="zh-CN"/>
        </w:rPr>
        <w:t>逐级</w:t>
      </w:r>
      <w:r>
        <w:rPr>
          <w:rFonts w:eastAsia="仿宋_GB2312"/>
          <w:b w:val="0"/>
          <w:bCs w:val="0"/>
          <w:color w:val="auto"/>
          <w:sz w:val="32"/>
          <w:szCs w:val="32"/>
          <w:u w:val="none"/>
        </w:rPr>
        <w:t>下达年度融资计划。各</w:t>
      </w:r>
      <w:r>
        <w:rPr>
          <w:rFonts w:hint="eastAsia" w:eastAsia="仿宋_GB2312"/>
          <w:b w:val="0"/>
          <w:bCs w:val="0"/>
          <w:color w:val="auto"/>
          <w:sz w:val="32"/>
          <w:szCs w:val="32"/>
          <w:u w:val="none"/>
          <w:lang w:eastAsia="zh-CN"/>
        </w:rPr>
        <w:t>企业</w:t>
      </w:r>
      <w:r>
        <w:rPr>
          <w:rFonts w:eastAsia="仿宋_GB2312"/>
          <w:b w:val="0"/>
          <w:bCs w:val="0"/>
          <w:color w:val="auto"/>
          <w:sz w:val="32"/>
          <w:szCs w:val="32"/>
          <w:u w:val="none"/>
        </w:rPr>
        <w:t>根据</w:t>
      </w:r>
      <w:r>
        <w:rPr>
          <w:rFonts w:hint="eastAsia" w:eastAsia="仿宋_GB2312"/>
          <w:b w:val="0"/>
          <w:bCs w:val="0"/>
          <w:color w:val="auto"/>
          <w:sz w:val="32"/>
          <w:szCs w:val="32"/>
          <w:u w:val="none"/>
        </w:rPr>
        <w:t>年度</w:t>
      </w:r>
      <w:r>
        <w:rPr>
          <w:rFonts w:eastAsia="仿宋_GB2312"/>
          <w:b w:val="0"/>
          <w:bCs w:val="0"/>
          <w:color w:val="auto"/>
          <w:sz w:val="32"/>
          <w:szCs w:val="32"/>
          <w:u w:val="none"/>
        </w:rPr>
        <w:t>融资计划，合理编制融资方</w:t>
      </w:r>
      <w:r>
        <w:rPr>
          <w:rFonts w:eastAsia="仿宋_GB2312"/>
          <w:b w:val="0"/>
          <w:bCs/>
          <w:color w:val="auto"/>
          <w:sz w:val="32"/>
          <w:szCs w:val="32"/>
          <w:highlight w:val="none"/>
          <w:u w:val="none"/>
        </w:rPr>
        <w:t>案</w:t>
      </w:r>
      <w:r>
        <w:rPr>
          <w:rFonts w:eastAsia="仿宋_GB2312"/>
          <w:color w:val="auto"/>
          <w:sz w:val="32"/>
          <w:szCs w:val="32"/>
          <w:highlight w:val="none"/>
          <w:u w:val="none"/>
        </w:rPr>
        <w:t>。</w:t>
      </w:r>
    </w:p>
    <w:p w14:paraId="06EE8EAF">
      <w:pPr>
        <w:pStyle w:val="4"/>
        <w:numPr>
          <w:ilvl w:val="0"/>
          <w:numId w:val="0"/>
        </w:numPr>
        <w:spacing w:line="600" w:lineRule="exact"/>
        <w:ind w:firstLine="640" w:firstLineChars="200"/>
        <w:rPr>
          <w:rFonts w:hint="eastAsia" w:eastAsia="仿宋_GB2312"/>
          <w:color w:val="auto"/>
          <w:sz w:val="32"/>
          <w:szCs w:val="32"/>
          <w:lang w:eastAsia="zh-CN"/>
        </w:rPr>
      </w:pPr>
      <w:r>
        <w:rPr>
          <w:rFonts w:eastAsia="黑体"/>
          <w:color w:val="auto"/>
          <w:sz w:val="32"/>
          <w:szCs w:val="32"/>
          <w:u w:val="none"/>
        </w:rPr>
        <w:t>第十</w:t>
      </w:r>
      <w:r>
        <w:rPr>
          <w:rFonts w:hint="eastAsia" w:eastAsia="黑体"/>
          <w:color w:val="auto"/>
          <w:sz w:val="32"/>
          <w:szCs w:val="32"/>
          <w:u w:val="none"/>
          <w:lang w:eastAsia="zh-CN"/>
        </w:rPr>
        <w:t>四</w:t>
      </w:r>
      <w:r>
        <w:rPr>
          <w:rFonts w:eastAsia="黑体"/>
          <w:color w:val="auto"/>
          <w:sz w:val="32"/>
          <w:szCs w:val="32"/>
          <w:u w:val="none"/>
        </w:rPr>
        <w:t>条</w:t>
      </w:r>
      <w:r>
        <w:rPr>
          <w:rFonts w:eastAsia="仿宋_GB2312"/>
          <w:b/>
          <w:bCs/>
          <w:color w:val="auto"/>
          <w:sz w:val="32"/>
          <w:szCs w:val="32"/>
          <w:u w:val="none"/>
        </w:rPr>
        <w:t xml:space="preserve">  </w:t>
      </w:r>
      <w:r>
        <w:rPr>
          <w:rFonts w:eastAsia="仿宋_GB2312"/>
          <w:color w:val="auto"/>
          <w:sz w:val="32"/>
          <w:szCs w:val="32"/>
          <w:u w:val="none"/>
        </w:rPr>
        <w:t>融资计划落实。</w:t>
      </w:r>
      <w:r>
        <w:rPr>
          <w:rFonts w:eastAsia="仿宋_GB2312"/>
          <w:b w:val="0"/>
          <w:bCs w:val="0"/>
          <w:color w:val="auto"/>
          <w:sz w:val="32"/>
          <w:szCs w:val="32"/>
          <w:u w:val="none"/>
        </w:rPr>
        <w:t>在</w:t>
      </w:r>
      <w:r>
        <w:rPr>
          <w:rFonts w:hint="eastAsia" w:eastAsia="仿宋_GB2312"/>
          <w:b w:val="0"/>
          <w:bCs w:val="0"/>
          <w:color w:val="auto"/>
          <w:sz w:val="32"/>
          <w:szCs w:val="32"/>
          <w:u w:val="none"/>
          <w:lang w:eastAsia="zh-CN"/>
        </w:rPr>
        <w:t>每个月</w:t>
      </w:r>
      <w:r>
        <w:rPr>
          <w:rFonts w:eastAsia="仿宋_GB2312"/>
          <w:b w:val="0"/>
          <w:bCs w:val="0"/>
          <w:color w:val="auto"/>
          <w:sz w:val="32"/>
          <w:szCs w:val="32"/>
          <w:u w:val="none"/>
        </w:rPr>
        <w:t>末前，各</w:t>
      </w:r>
      <w:r>
        <w:rPr>
          <w:rFonts w:hint="eastAsia" w:eastAsia="仿宋_GB2312"/>
          <w:b w:val="0"/>
          <w:bCs w:val="0"/>
          <w:color w:val="auto"/>
          <w:sz w:val="32"/>
          <w:szCs w:val="32"/>
          <w:u w:val="none"/>
          <w:lang w:eastAsia="zh-CN"/>
        </w:rPr>
        <w:t>企业</w:t>
      </w:r>
      <w:r>
        <w:rPr>
          <w:rFonts w:eastAsia="仿宋_GB2312"/>
          <w:b w:val="0"/>
          <w:bCs w:val="0"/>
          <w:color w:val="auto"/>
          <w:sz w:val="32"/>
          <w:szCs w:val="32"/>
          <w:u w:val="none"/>
        </w:rPr>
        <w:t>逐级报送</w:t>
      </w:r>
      <w:r>
        <w:rPr>
          <w:rFonts w:hint="eastAsia" w:eastAsia="仿宋_GB2312"/>
          <w:b w:val="0"/>
          <w:bCs w:val="0"/>
          <w:color w:val="auto"/>
          <w:sz w:val="32"/>
          <w:szCs w:val="32"/>
          <w:u w:val="none"/>
          <w:lang w:eastAsia="zh-CN"/>
        </w:rPr>
        <w:t>下一月</w:t>
      </w:r>
      <w:r>
        <w:rPr>
          <w:rFonts w:eastAsia="仿宋_GB2312"/>
          <w:b w:val="0"/>
          <w:bCs w:val="0"/>
          <w:color w:val="auto"/>
          <w:sz w:val="32"/>
          <w:szCs w:val="32"/>
          <w:u w:val="none"/>
        </w:rPr>
        <w:t>融资计划及短期还款计划，并报送至市</w:t>
      </w:r>
      <w:r>
        <w:rPr>
          <w:rFonts w:hint="eastAsia" w:eastAsia="仿宋_GB2312"/>
          <w:b w:val="0"/>
          <w:bCs w:val="0"/>
          <w:color w:val="auto"/>
          <w:sz w:val="32"/>
          <w:szCs w:val="32"/>
          <w:u w:val="none"/>
          <w:lang w:eastAsia="zh-CN"/>
        </w:rPr>
        <w:t>国投集团</w:t>
      </w:r>
      <w:r>
        <w:rPr>
          <w:rFonts w:eastAsia="仿宋_GB2312"/>
          <w:b w:val="0"/>
          <w:bCs w:val="0"/>
          <w:color w:val="auto"/>
          <w:sz w:val="32"/>
          <w:szCs w:val="32"/>
          <w:u w:val="none"/>
        </w:rPr>
        <w:t>。各</w:t>
      </w:r>
      <w:r>
        <w:rPr>
          <w:rFonts w:hint="eastAsia" w:eastAsia="仿宋_GB2312"/>
          <w:b w:val="0"/>
          <w:bCs w:val="0"/>
          <w:color w:val="auto"/>
          <w:sz w:val="32"/>
          <w:szCs w:val="32"/>
          <w:u w:val="none"/>
          <w:lang w:eastAsia="zh-CN"/>
        </w:rPr>
        <w:t>企业</w:t>
      </w:r>
      <w:r>
        <w:rPr>
          <w:rFonts w:eastAsia="仿宋_GB2312"/>
          <w:b w:val="0"/>
          <w:bCs w:val="0"/>
          <w:color w:val="auto"/>
          <w:sz w:val="32"/>
          <w:szCs w:val="32"/>
          <w:u w:val="none"/>
        </w:rPr>
        <w:t>新增融资及到期续贷需逐级管理，及时将融资方案逐级上报</w:t>
      </w:r>
      <w:r>
        <w:rPr>
          <w:rFonts w:hint="eastAsia" w:eastAsia="仿宋_GB2312"/>
          <w:b w:val="0"/>
          <w:bCs w:val="0"/>
          <w:color w:val="auto"/>
          <w:sz w:val="32"/>
          <w:szCs w:val="32"/>
          <w:u w:val="none"/>
          <w:lang w:eastAsia="zh-CN"/>
        </w:rPr>
        <w:t>，由</w:t>
      </w:r>
      <w:r>
        <w:rPr>
          <w:rFonts w:eastAsia="仿宋_GB2312"/>
          <w:color w:val="auto"/>
          <w:sz w:val="32"/>
          <w:szCs w:val="32"/>
        </w:rPr>
        <w:t>市</w:t>
      </w:r>
      <w:r>
        <w:rPr>
          <w:rFonts w:hint="eastAsia" w:eastAsia="仿宋_GB2312"/>
          <w:color w:val="auto"/>
          <w:sz w:val="32"/>
          <w:szCs w:val="32"/>
          <w:lang w:eastAsia="zh-CN"/>
        </w:rPr>
        <w:t>国投集团</w:t>
      </w:r>
      <w:r>
        <w:rPr>
          <w:rFonts w:eastAsia="仿宋_GB2312"/>
          <w:color w:val="auto"/>
          <w:sz w:val="32"/>
          <w:szCs w:val="32"/>
        </w:rPr>
        <w:t>逐笔审批后开展融资工作。</w:t>
      </w:r>
    </w:p>
    <w:p w14:paraId="5234F4C1">
      <w:pPr>
        <w:pStyle w:val="4"/>
        <w:numPr>
          <w:ilvl w:val="0"/>
          <w:numId w:val="0"/>
        </w:numPr>
        <w:spacing w:line="600" w:lineRule="exact"/>
        <w:ind w:firstLine="643" w:firstLineChars="200"/>
        <w:rPr>
          <w:rFonts w:eastAsia="仿宋_GB2312"/>
          <w:b w:val="0"/>
          <w:bCs w:val="0"/>
          <w:color w:val="auto"/>
          <w:sz w:val="32"/>
          <w:szCs w:val="32"/>
          <w:u w:val="none"/>
        </w:rPr>
      </w:pPr>
      <w:r>
        <w:rPr>
          <w:rFonts w:hint="eastAsia" w:eastAsia="仿宋_GB2312"/>
          <w:b/>
          <w:bCs/>
          <w:color w:val="auto"/>
          <w:sz w:val="32"/>
          <w:szCs w:val="32"/>
          <w:lang w:eastAsia="zh-CN"/>
        </w:rPr>
        <w:t>第十五条</w:t>
      </w:r>
      <w:r>
        <w:rPr>
          <w:rFonts w:hint="eastAsia" w:eastAsia="仿宋_GB2312"/>
          <w:b/>
          <w:bCs/>
          <w:color w:val="auto"/>
          <w:sz w:val="32"/>
          <w:szCs w:val="32"/>
          <w:lang w:val="en-US" w:eastAsia="zh-CN"/>
        </w:rPr>
        <w:t xml:space="preserve">  </w:t>
      </w:r>
      <w:r>
        <w:rPr>
          <w:rFonts w:hint="eastAsia" w:eastAsia="仿宋_GB2312"/>
          <w:b w:val="0"/>
          <w:bCs w:val="0"/>
          <w:color w:val="auto"/>
          <w:sz w:val="32"/>
          <w:szCs w:val="32"/>
          <w:u w:val="none"/>
          <w:lang w:val="en-US" w:eastAsia="zh-CN"/>
        </w:rPr>
        <w:t>融资计划调整。年度融资计划需进行调整的，应于每年10月底前逐级报送至市国投集团，</w:t>
      </w:r>
      <w:r>
        <w:rPr>
          <w:rFonts w:hint="eastAsia" w:eastAsia="仿宋_GB2312"/>
          <w:b w:val="0"/>
          <w:bCs w:val="0"/>
          <w:color w:val="auto"/>
          <w:sz w:val="32"/>
          <w:szCs w:val="32"/>
          <w:u w:val="none"/>
          <w:lang w:eastAsia="zh-CN"/>
        </w:rPr>
        <w:t>由市国资监管机构联合市国投集团将调整计划上报国企例会审议</w:t>
      </w:r>
      <w:r>
        <w:rPr>
          <w:rFonts w:eastAsia="仿宋_GB2312"/>
          <w:b w:val="0"/>
          <w:bCs w:val="0"/>
          <w:color w:val="auto"/>
          <w:sz w:val="32"/>
          <w:szCs w:val="32"/>
          <w:u w:val="none"/>
        </w:rPr>
        <w:t>。</w:t>
      </w:r>
    </w:p>
    <w:p w14:paraId="3D75385A">
      <w:pPr>
        <w:pStyle w:val="4"/>
        <w:numPr>
          <w:ilvl w:val="0"/>
          <w:numId w:val="0"/>
        </w:numPr>
        <w:spacing w:line="600" w:lineRule="exact"/>
        <w:ind w:firstLine="640" w:firstLineChars="200"/>
        <w:rPr>
          <w:rFonts w:hint="eastAsia" w:eastAsia="仿宋_GB2312"/>
          <w:b w:val="0"/>
          <w:bCs w:val="0"/>
          <w:color w:val="auto"/>
          <w:sz w:val="32"/>
          <w:szCs w:val="32"/>
          <w:u w:val="single"/>
          <w:lang w:val="en-US" w:eastAsia="zh-CN"/>
        </w:rPr>
      </w:pPr>
      <w:r>
        <w:rPr>
          <w:rFonts w:eastAsia="黑体"/>
          <w:color w:val="auto"/>
          <w:sz w:val="32"/>
          <w:szCs w:val="32"/>
        </w:rPr>
        <w:t>第十</w:t>
      </w:r>
      <w:r>
        <w:rPr>
          <w:rFonts w:hint="eastAsia" w:eastAsia="黑体"/>
          <w:color w:val="auto"/>
          <w:sz w:val="32"/>
          <w:szCs w:val="32"/>
          <w:lang w:eastAsia="zh-CN"/>
        </w:rPr>
        <w:t>六</w:t>
      </w:r>
      <w:r>
        <w:rPr>
          <w:rFonts w:eastAsia="黑体"/>
          <w:color w:val="auto"/>
          <w:sz w:val="32"/>
          <w:szCs w:val="32"/>
        </w:rPr>
        <w:t>条</w:t>
      </w:r>
      <w:r>
        <w:rPr>
          <w:rFonts w:eastAsia="仿宋_GB2312"/>
          <w:color w:val="auto"/>
          <w:sz w:val="32"/>
          <w:szCs w:val="32"/>
        </w:rPr>
        <w:t xml:space="preserve">  </w:t>
      </w:r>
      <w:r>
        <w:rPr>
          <w:rFonts w:hint="eastAsia" w:eastAsia="仿宋_GB2312"/>
          <w:b w:val="0"/>
          <w:bCs w:val="0"/>
          <w:color w:val="auto"/>
          <w:sz w:val="32"/>
          <w:szCs w:val="32"/>
          <w:lang w:eastAsia="zh-CN"/>
        </w:rPr>
        <w:t>各企业</w:t>
      </w:r>
      <w:r>
        <w:rPr>
          <w:rFonts w:eastAsia="仿宋_GB2312"/>
          <w:b w:val="0"/>
          <w:bCs w:val="0"/>
          <w:color w:val="auto"/>
          <w:sz w:val="32"/>
          <w:szCs w:val="32"/>
        </w:rPr>
        <w:t>发行企业债、公司债</w:t>
      </w:r>
      <w:r>
        <w:rPr>
          <w:rFonts w:hint="eastAsia" w:eastAsia="仿宋_GB2312"/>
          <w:b w:val="0"/>
          <w:bCs w:val="0"/>
          <w:color w:val="auto"/>
          <w:sz w:val="32"/>
          <w:szCs w:val="32"/>
          <w:lang w:eastAsia="zh-CN"/>
        </w:rPr>
        <w:t>等债券产品及非标准化融资产品</w:t>
      </w:r>
      <w:r>
        <w:rPr>
          <w:rFonts w:eastAsia="仿宋_GB2312"/>
          <w:b w:val="0"/>
          <w:bCs w:val="0"/>
          <w:color w:val="auto"/>
          <w:sz w:val="32"/>
          <w:szCs w:val="32"/>
        </w:rPr>
        <w:t>，需</w:t>
      </w:r>
      <w:r>
        <w:rPr>
          <w:rFonts w:hint="eastAsia" w:eastAsia="仿宋_GB2312"/>
          <w:b w:val="0"/>
          <w:bCs w:val="0"/>
          <w:color w:val="auto"/>
          <w:sz w:val="32"/>
          <w:szCs w:val="32"/>
          <w:lang w:eastAsia="zh-CN"/>
        </w:rPr>
        <w:t>经</w:t>
      </w:r>
      <w:r>
        <w:rPr>
          <w:rFonts w:eastAsia="仿宋_GB2312"/>
          <w:b w:val="0"/>
          <w:bCs w:val="0"/>
          <w:color w:val="auto"/>
          <w:sz w:val="32"/>
          <w:szCs w:val="32"/>
        </w:rPr>
        <w:t>市</w:t>
      </w:r>
      <w:r>
        <w:rPr>
          <w:rFonts w:hint="eastAsia" w:eastAsia="仿宋_GB2312"/>
          <w:b w:val="0"/>
          <w:bCs w:val="0"/>
          <w:color w:val="auto"/>
          <w:sz w:val="32"/>
          <w:szCs w:val="32"/>
          <w:lang w:eastAsia="zh-CN"/>
        </w:rPr>
        <w:t>国资监管机构批准。</w:t>
      </w:r>
    </w:p>
    <w:p w14:paraId="45D77C85">
      <w:pPr>
        <w:pStyle w:val="4"/>
        <w:numPr>
          <w:ilvl w:val="0"/>
          <w:numId w:val="0"/>
        </w:numPr>
        <w:spacing w:line="600" w:lineRule="exact"/>
        <w:ind w:firstLine="640" w:firstLineChars="200"/>
        <w:rPr>
          <w:rFonts w:hint="eastAsia" w:eastAsia="仿宋_GB2312"/>
          <w:color w:val="auto"/>
          <w:sz w:val="32"/>
          <w:szCs w:val="32"/>
          <w:lang w:val="en-US" w:eastAsia="zh-CN"/>
        </w:rPr>
      </w:pPr>
      <w:r>
        <w:rPr>
          <w:rFonts w:hint="eastAsia" w:eastAsia="黑体"/>
          <w:color w:val="auto"/>
          <w:sz w:val="32"/>
          <w:szCs w:val="32"/>
          <w:lang w:eastAsia="zh-CN"/>
        </w:rPr>
        <w:t>第十七条</w:t>
      </w:r>
      <w:r>
        <w:rPr>
          <w:rFonts w:hint="eastAsia" w:eastAsia="仿宋_GB2312"/>
          <w:color w:val="auto"/>
          <w:sz w:val="32"/>
          <w:szCs w:val="32"/>
          <w:lang w:val="en-US" w:eastAsia="zh-CN"/>
        </w:rPr>
        <w:t xml:space="preserve">  企业要结合自身经营状况、项目建设周期、当期金融政策环境等因素确定融资方案，严禁以任何形式产生增加政府隐性负债的融资行为。</w:t>
      </w:r>
    </w:p>
    <w:p w14:paraId="433B2BC1">
      <w:pPr>
        <w:pStyle w:val="4"/>
        <w:numPr>
          <w:ilvl w:val="0"/>
          <w:numId w:val="0"/>
        </w:numPr>
        <w:spacing w:line="600" w:lineRule="exact"/>
        <w:ind w:firstLine="640" w:firstLineChars="200"/>
        <w:rPr>
          <w:rFonts w:hint="default" w:eastAsia="仿宋_GB2312"/>
          <w:color w:val="auto"/>
          <w:sz w:val="32"/>
          <w:szCs w:val="32"/>
          <w:lang w:val="en-US" w:eastAsia="zh-CN"/>
        </w:rPr>
      </w:pPr>
    </w:p>
    <w:p w14:paraId="04970B29">
      <w:pPr>
        <w:spacing w:line="600" w:lineRule="exact"/>
        <w:jc w:val="center"/>
        <w:rPr>
          <w:rFonts w:eastAsia="黑体"/>
          <w:color w:val="auto"/>
          <w:sz w:val="32"/>
          <w:szCs w:val="32"/>
        </w:rPr>
      </w:pPr>
      <w:r>
        <w:rPr>
          <w:rFonts w:ascii="Times New Roman" w:hAnsi="Times New Roman" w:eastAsia="黑体" w:cs="Times New Roman"/>
          <w:color w:val="auto"/>
          <w:sz w:val="32"/>
          <w:szCs w:val="32"/>
        </w:rPr>
        <w:t>第</w:t>
      </w:r>
      <w:r>
        <w:rPr>
          <w:rFonts w:hint="eastAsia" w:ascii="Times New Roman" w:hAnsi="Times New Roman" w:eastAsia="黑体" w:cs="Times New Roman"/>
          <w:color w:val="auto"/>
          <w:sz w:val="32"/>
          <w:szCs w:val="32"/>
          <w:lang w:eastAsia="zh-CN"/>
        </w:rPr>
        <w:t>五</w:t>
      </w:r>
      <w:r>
        <w:rPr>
          <w:rFonts w:ascii="Times New Roman" w:hAnsi="Times New Roman" w:eastAsia="黑体" w:cs="Times New Roman"/>
          <w:color w:val="auto"/>
          <w:sz w:val="32"/>
          <w:szCs w:val="32"/>
        </w:rPr>
        <w:t>章  附  则</w:t>
      </w:r>
    </w:p>
    <w:p w14:paraId="71666552">
      <w:pPr>
        <w:pStyle w:val="4"/>
        <w:numPr>
          <w:ilvl w:val="0"/>
          <w:numId w:val="0"/>
        </w:numPr>
        <w:spacing w:line="600" w:lineRule="exact"/>
        <w:ind w:firstLine="640" w:firstLineChars="200"/>
        <w:rPr>
          <w:rFonts w:hint="default" w:eastAsia="仿宋_GB2312"/>
          <w:b/>
          <w:bCs/>
          <w:color w:val="FF0000"/>
          <w:sz w:val="32"/>
          <w:szCs w:val="32"/>
          <w:u w:val="single"/>
          <w:lang w:val="en-US" w:eastAsia="zh-CN"/>
        </w:rPr>
      </w:pPr>
      <w:r>
        <w:rPr>
          <w:rFonts w:eastAsia="黑体"/>
          <w:color w:val="auto"/>
          <w:sz w:val="32"/>
          <w:szCs w:val="32"/>
        </w:rPr>
        <w:t>第十</w:t>
      </w:r>
      <w:r>
        <w:rPr>
          <w:rFonts w:hint="eastAsia" w:eastAsia="黑体"/>
          <w:color w:val="auto"/>
          <w:sz w:val="32"/>
          <w:szCs w:val="32"/>
          <w:lang w:eastAsia="zh-CN"/>
        </w:rPr>
        <w:t>八</w:t>
      </w:r>
      <w:r>
        <w:rPr>
          <w:rFonts w:eastAsia="黑体"/>
          <w:color w:val="auto"/>
          <w:sz w:val="32"/>
          <w:szCs w:val="32"/>
        </w:rPr>
        <w:t>条</w:t>
      </w:r>
      <w:r>
        <w:rPr>
          <w:rFonts w:hint="eastAsia" w:eastAsia="黑体"/>
          <w:color w:val="auto"/>
          <w:sz w:val="32"/>
          <w:szCs w:val="32"/>
          <w:lang w:val="en-US" w:eastAsia="zh-CN"/>
        </w:rPr>
        <w:t xml:space="preserve">  </w:t>
      </w:r>
      <w:r>
        <w:rPr>
          <w:rFonts w:hint="eastAsia" w:eastAsia="仿宋_GB2312"/>
          <w:color w:val="auto"/>
          <w:sz w:val="32"/>
          <w:szCs w:val="32"/>
          <w:lang w:val="en-US" w:eastAsia="zh-CN"/>
        </w:rPr>
        <w:t>金融企业不适用本办法。</w:t>
      </w:r>
    </w:p>
    <w:p w14:paraId="3EFA4E36">
      <w:pPr>
        <w:pStyle w:val="4"/>
        <w:numPr>
          <w:ilvl w:val="0"/>
          <w:numId w:val="0"/>
        </w:numPr>
        <w:spacing w:line="600" w:lineRule="exact"/>
        <w:ind w:firstLine="640" w:firstLineChars="200"/>
        <w:rPr>
          <w:rFonts w:eastAsia="仿宋_GB2312"/>
          <w:color w:val="auto"/>
          <w:sz w:val="32"/>
          <w:szCs w:val="32"/>
        </w:rPr>
      </w:pPr>
      <w:r>
        <w:rPr>
          <w:rFonts w:eastAsia="黑体"/>
          <w:color w:val="auto"/>
          <w:sz w:val="32"/>
          <w:szCs w:val="32"/>
        </w:rPr>
        <w:t>第十</w:t>
      </w:r>
      <w:r>
        <w:rPr>
          <w:rFonts w:hint="eastAsia" w:eastAsia="黑体"/>
          <w:color w:val="auto"/>
          <w:sz w:val="32"/>
          <w:szCs w:val="32"/>
          <w:lang w:eastAsia="zh-CN"/>
        </w:rPr>
        <w:t>九</w:t>
      </w:r>
      <w:r>
        <w:rPr>
          <w:rFonts w:eastAsia="黑体"/>
          <w:color w:val="auto"/>
          <w:sz w:val="32"/>
          <w:szCs w:val="32"/>
        </w:rPr>
        <w:t>条</w:t>
      </w:r>
      <w:r>
        <w:rPr>
          <w:rFonts w:eastAsia="仿宋_GB2312"/>
          <w:color w:val="auto"/>
          <w:sz w:val="32"/>
          <w:szCs w:val="32"/>
        </w:rPr>
        <w:t xml:space="preserve">  本办法由市</w:t>
      </w:r>
      <w:r>
        <w:rPr>
          <w:rFonts w:hint="eastAsia" w:eastAsia="仿宋_GB2312"/>
          <w:color w:val="auto"/>
          <w:sz w:val="32"/>
          <w:szCs w:val="32"/>
          <w:lang w:eastAsia="zh-CN"/>
        </w:rPr>
        <w:t>国资监管机构</w:t>
      </w:r>
      <w:r>
        <w:rPr>
          <w:rFonts w:eastAsia="仿宋_GB2312"/>
          <w:color w:val="auto"/>
          <w:sz w:val="32"/>
          <w:szCs w:val="32"/>
        </w:rPr>
        <w:t>负责解释。</w:t>
      </w:r>
    </w:p>
    <w:p w14:paraId="7ED059AB">
      <w:pPr>
        <w:pStyle w:val="4"/>
        <w:numPr>
          <w:ilvl w:val="0"/>
          <w:numId w:val="0"/>
        </w:numPr>
        <w:spacing w:line="600" w:lineRule="exact"/>
        <w:ind w:firstLine="640" w:firstLineChars="200"/>
        <w:rPr>
          <w:rFonts w:hint="eastAsia" w:eastAsia="仿宋_GB2312"/>
          <w:color w:val="auto"/>
          <w:sz w:val="32"/>
          <w:szCs w:val="32"/>
          <w:lang w:eastAsia="zh-CN"/>
        </w:rPr>
      </w:pPr>
      <w:r>
        <w:rPr>
          <w:rFonts w:eastAsia="黑体"/>
          <w:color w:val="auto"/>
          <w:sz w:val="32"/>
          <w:szCs w:val="32"/>
        </w:rPr>
        <w:t>第</w:t>
      </w:r>
      <w:r>
        <w:rPr>
          <w:rFonts w:hint="eastAsia" w:eastAsia="黑体"/>
          <w:color w:val="auto"/>
          <w:sz w:val="32"/>
          <w:szCs w:val="32"/>
          <w:lang w:eastAsia="zh-CN"/>
        </w:rPr>
        <w:t>二十</w:t>
      </w:r>
      <w:r>
        <w:rPr>
          <w:rFonts w:eastAsia="黑体"/>
          <w:color w:val="auto"/>
          <w:sz w:val="32"/>
          <w:szCs w:val="32"/>
        </w:rPr>
        <w:t>条</w:t>
      </w:r>
      <w:r>
        <w:rPr>
          <w:rFonts w:eastAsia="仿宋_GB2312"/>
          <w:color w:val="auto"/>
          <w:sz w:val="32"/>
          <w:szCs w:val="32"/>
        </w:rPr>
        <w:t xml:space="preserve">  本办法从发文之日起施行。</w:t>
      </w:r>
      <w:r>
        <w:rPr>
          <w:rFonts w:hint="eastAsia" w:eastAsia="仿宋_GB2312"/>
          <w:color w:val="auto"/>
          <w:sz w:val="32"/>
          <w:szCs w:val="32"/>
          <w:lang w:eastAsia="zh-CN"/>
        </w:rPr>
        <w:t>我市关于市属企业融资管理其他规定与本办法不一致的，以本办法为准。</w:t>
      </w:r>
    </w:p>
    <w:p w14:paraId="2B7C4F70">
      <w:pPr>
        <w:spacing w:line="600" w:lineRule="exact"/>
        <w:rPr>
          <w:rFonts w:eastAsia="仿宋_GB2312"/>
          <w:color w:val="auto"/>
          <w:sz w:val="32"/>
          <w:szCs w:val="32"/>
        </w:rPr>
      </w:pPr>
      <w:r>
        <w:rPr>
          <w:rFonts w:ascii="Times New Roman" w:hAnsi="Times New Roman" w:eastAsia="仿宋_GB2312" w:cs="Times New Roman"/>
          <w:color w:val="auto"/>
          <w:sz w:val="32"/>
          <w:szCs w:val="32"/>
        </w:rPr>
        <w:br w:type="page"/>
      </w:r>
    </w:p>
    <w:p w14:paraId="21EA3AA3">
      <w:pPr>
        <w:jc w:val="center"/>
        <w:rPr>
          <w:bCs/>
        </w:rPr>
      </w:pPr>
      <w:r>
        <w:rPr>
          <w:rFonts w:hint="eastAsia" w:ascii="Times New Roman" w:hAnsi="Times New Roman" w:eastAsia="方正小标宋简体" w:cs="Times New Roman"/>
          <w:bCs/>
          <w:sz w:val="48"/>
          <w:szCs w:val="48"/>
          <w:lang w:eastAsia="zh-CN"/>
        </w:rPr>
        <w:t>玉环</w:t>
      </w:r>
      <w:r>
        <w:rPr>
          <w:rFonts w:ascii="Times New Roman" w:hAnsi="Times New Roman" w:eastAsia="方正小标宋简体" w:cs="Times New Roman"/>
          <w:bCs/>
          <w:sz w:val="48"/>
          <w:szCs w:val="48"/>
        </w:rPr>
        <w:t>市市属国有企业融资审批单</w:t>
      </w:r>
    </w:p>
    <w:p w14:paraId="7BF21ECE">
      <w:pPr>
        <w:rPr>
          <w:rFonts w:eastAsia="楷体_GB2312"/>
          <w:bCs/>
          <w:sz w:val="26"/>
          <w:szCs w:val="26"/>
        </w:rPr>
      </w:pPr>
      <w:r>
        <w:rPr>
          <w:rFonts w:ascii="Times New Roman" w:hAnsi="Times New Roman" w:eastAsia="楷体_GB2312" w:cs="Times New Roman"/>
          <w:bCs/>
          <w:sz w:val="26"/>
          <w:szCs w:val="26"/>
        </w:rPr>
        <w:t>202  年    月   日                            编号：</w:t>
      </w:r>
    </w:p>
    <w:tbl>
      <w:tblPr>
        <w:tblStyle w:val="10"/>
        <w:tblW w:w="89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2375"/>
        <w:gridCol w:w="1700"/>
        <w:gridCol w:w="2610"/>
      </w:tblGrid>
      <w:tr w14:paraId="15594C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2269" w:type="dxa"/>
            <w:vAlign w:val="center"/>
          </w:tcPr>
          <w:p w14:paraId="27D7B814">
            <w:pPr>
              <w:jc w:val="center"/>
              <w:rPr>
                <w:bCs/>
                <w:sz w:val="26"/>
                <w:szCs w:val="26"/>
              </w:rPr>
            </w:pPr>
            <w:r>
              <w:rPr>
                <w:rFonts w:ascii="Times New Roman" w:hAnsi="Times New Roman" w:cs="Times New Roman"/>
                <w:bCs/>
                <w:sz w:val="26"/>
                <w:szCs w:val="26"/>
              </w:rPr>
              <w:t>融资主体</w:t>
            </w:r>
          </w:p>
        </w:tc>
        <w:tc>
          <w:tcPr>
            <w:tcW w:w="6685" w:type="dxa"/>
            <w:gridSpan w:val="3"/>
            <w:vAlign w:val="center"/>
          </w:tcPr>
          <w:p w14:paraId="4B383829">
            <w:pPr>
              <w:ind w:firstLine="260" w:firstLineChars="100"/>
              <w:rPr>
                <w:bCs/>
                <w:sz w:val="26"/>
                <w:szCs w:val="26"/>
              </w:rPr>
            </w:pPr>
          </w:p>
        </w:tc>
      </w:tr>
      <w:tr w14:paraId="417C5E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2269" w:type="dxa"/>
            <w:vAlign w:val="center"/>
          </w:tcPr>
          <w:p w14:paraId="75410F06">
            <w:pPr>
              <w:jc w:val="center"/>
              <w:rPr>
                <w:bCs/>
                <w:sz w:val="26"/>
                <w:szCs w:val="26"/>
              </w:rPr>
            </w:pPr>
            <w:r>
              <w:rPr>
                <w:rFonts w:ascii="Times New Roman" w:hAnsi="Times New Roman" w:cs="Times New Roman"/>
                <w:bCs/>
                <w:sz w:val="26"/>
                <w:szCs w:val="26"/>
              </w:rPr>
              <w:t>承办金融机构</w:t>
            </w:r>
          </w:p>
        </w:tc>
        <w:tc>
          <w:tcPr>
            <w:tcW w:w="6685" w:type="dxa"/>
            <w:gridSpan w:val="3"/>
            <w:vAlign w:val="center"/>
          </w:tcPr>
          <w:p w14:paraId="32D12E1C">
            <w:pPr>
              <w:rPr>
                <w:bCs/>
                <w:sz w:val="26"/>
                <w:szCs w:val="26"/>
              </w:rPr>
            </w:pPr>
          </w:p>
        </w:tc>
      </w:tr>
      <w:tr w14:paraId="7C095E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2269" w:type="dxa"/>
            <w:vAlign w:val="center"/>
          </w:tcPr>
          <w:p w14:paraId="7C2E8A2B">
            <w:pPr>
              <w:jc w:val="center"/>
              <w:rPr>
                <w:bCs/>
                <w:sz w:val="26"/>
                <w:szCs w:val="26"/>
              </w:rPr>
            </w:pPr>
            <w:r>
              <w:rPr>
                <w:rFonts w:ascii="Times New Roman" w:hAnsi="Times New Roman" w:cs="Times New Roman"/>
                <w:bCs/>
                <w:sz w:val="26"/>
                <w:szCs w:val="26"/>
              </w:rPr>
              <w:t>授信金额</w:t>
            </w:r>
          </w:p>
        </w:tc>
        <w:tc>
          <w:tcPr>
            <w:tcW w:w="2375" w:type="dxa"/>
            <w:vAlign w:val="center"/>
          </w:tcPr>
          <w:p w14:paraId="1D970445">
            <w:pPr>
              <w:jc w:val="center"/>
              <w:rPr>
                <w:bCs/>
                <w:sz w:val="26"/>
                <w:szCs w:val="26"/>
              </w:rPr>
            </w:pPr>
          </w:p>
        </w:tc>
        <w:tc>
          <w:tcPr>
            <w:tcW w:w="1700" w:type="dxa"/>
            <w:vAlign w:val="center"/>
          </w:tcPr>
          <w:p w14:paraId="129D81A6">
            <w:pPr>
              <w:jc w:val="center"/>
              <w:rPr>
                <w:bCs/>
                <w:sz w:val="26"/>
                <w:szCs w:val="26"/>
              </w:rPr>
            </w:pPr>
            <w:r>
              <w:rPr>
                <w:rFonts w:ascii="Times New Roman" w:hAnsi="Times New Roman" w:cs="Times New Roman"/>
                <w:bCs/>
                <w:sz w:val="26"/>
                <w:szCs w:val="26"/>
              </w:rPr>
              <w:t>融资类型</w:t>
            </w:r>
          </w:p>
        </w:tc>
        <w:tc>
          <w:tcPr>
            <w:tcW w:w="2610" w:type="dxa"/>
            <w:vAlign w:val="center"/>
          </w:tcPr>
          <w:p w14:paraId="455AC067">
            <w:pPr>
              <w:jc w:val="center"/>
              <w:rPr>
                <w:bCs/>
                <w:sz w:val="26"/>
                <w:szCs w:val="26"/>
              </w:rPr>
            </w:pPr>
          </w:p>
        </w:tc>
      </w:tr>
      <w:tr w14:paraId="402464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2269" w:type="dxa"/>
            <w:vAlign w:val="center"/>
          </w:tcPr>
          <w:p w14:paraId="46AB96FB">
            <w:pPr>
              <w:jc w:val="center"/>
              <w:rPr>
                <w:bCs/>
                <w:sz w:val="26"/>
                <w:szCs w:val="26"/>
              </w:rPr>
            </w:pPr>
            <w:r>
              <w:rPr>
                <w:rFonts w:ascii="Times New Roman" w:hAnsi="Times New Roman" w:cs="Times New Roman"/>
                <w:bCs/>
                <w:sz w:val="26"/>
                <w:szCs w:val="26"/>
              </w:rPr>
              <w:t>放款金额</w:t>
            </w:r>
          </w:p>
        </w:tc>
        <w:tc>
          <w:tcPr>
            <w:tcW w:w="2375" w:type="dxa"/>
            <w:vAlign w:val="center"/>
          </w:tcPr>
          <w:p w14:paraId="16E207BC">
            <w:pPr>
              <w:jc w:val="center"/>
              <w:rPr>
                <w:bCs/>
                <w:sz w:val="26"/>
                <w:szCs w:val="26"/>
              </w:rPr>
            </w:pPr>
          </w:p>
        </w:tc>
        <w:tc>
          <w:tcPr>
            <w:tcW w:w="1700" w:type="dxa"/>
            <w:vAlign w:val="center"/>
          </w:tcPr>
          <w:p w14:paraId="39EF3EEB">
            <w:pPr>
              <w:jc w:val="center"/>
              <w:rPr>
                <w:bCs/>
                <w:sz w:val="26"/>
                <w:szCs w:val="26"/>
              </w:rPr>
            </w:pPr>
            <w:r>
              <w:rPr>
                <w:rFonts w:ascii="Times New Roman" w:hAnsi="Times New Roman" w:cs="Times New Roman"/>
                <w:bCs/>
                <w:sz w:val="26"/>
                <w:szCs w:val="26"/>
              </w:rPr>
              <w:t>用途</w:t>
            </w:r>
          </w:p>
        </w:tc>
        <w:tc>
          <w:tcPr>
            <w:tcW w:w="2610" w:type="dxa"/>
            <w:vAlign w:val="center"/>
          </w:tcPr>
          <w:p w14:paraId="7878E064">
            <w:pPr>
              <w:jc w:val="center"/>
              <w:rPr>
                <w:bCs/>
                <w:sz w:val="26"/>
                <w:szCs w:val="26"/>
              </w:rPr>
            </w:pPr>
          </w:p>
        </w:tc>
      </w:tr>
      <w:tr w14:paraId="1EC5B5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2269" w:type="dxa"/>
            <w:vAlign w:val="center"/>
          </w:tcPr>
          <w:p w14:paraId="01673032">
            <w:pPr>
              <w:jc w:val="center"/>
              <w:rPr>
                <w:bCs/>
                <w:sz w:val="26"/>
                <w:szCs w:val="26"/>
              </w:rPr>
            </w:pPr>
            <w:r>
              <w:rPr>
                <w:rFonts w:ascii="Times New Roman" w:hAnsi="Times New Roman" w:cs="Times New Roman"/>
                <w:bCs/>
                <w:sz w:val="26"/>
                <w:szCs w:val="26"/>
              </w:rPr>
              <w:t>期限</w:t>
            </w:r>
          </w:p>
        </w:tc>
        <w:tc>
          <w:tcPr>
            <w:tcW w:w="2375" w:type="dxa"/>
            <w:vAlign w:val="center"/>
          </w:tcPr>
          <w:p w14:paraId="0A936B3B">
            <w:pPr>
              <w:jc w:val="center"/>
              <w:rPr>
                <w:bCs/>
                <w:sz w:val="26"/>
                <w:szCs w:val="26"/>
              </w:rPr>
            </w:pPr>
          </w:p>
        </w:tc>
        <w:tc>
          <w:tcPr>
            <w:tcW w:w="1700" w:type="dxa"/>
            <w:vAlign w:val="center"/>
          </w:tcPr>
          <w:p w14:paraId="370352B3">
            <w:pPr>
              <w:jc w:val="center"/>
              <w:rPr>
                <w:bCs/>
                <w:sz w:val="26"/>
                <w:szCs w:val="26"/>
              </w:rPr>
            </w:pPr>
            <w:r>
              <w:rPr>
                <w:rFonts w:ascii="Times New Roman" w:hAnsi="Times New Roman" w:cs="Times New Roman"/>
                <w:bCs/>
                <w:sz w:val="26"/>
                <w:szCs w:val="26"/>
              </w:rPr>
              <w:t>利率</w:t>
            </w:r>
          </w:p>
        </w:tc>
        <w:tc>
          <w:tcPr>
            <w:tcW w:w="2610" w:type="dxa"/>
            <w:vAlign w:val="center"/>
          </w:tcPr>
          <w:p w14:paraId="36B751FA">
            <w:pPr>
              <w:jc w:val="center"/>
              <w:rPr>
                <w:bCs/>
                <w:sz w:val="26"/>
                <w:szCs w:val="26"/>
              </w:rPr>
            </w:pPr>
          </w:p>
        </w:tc>
      </w:tr>
      <w:tr w14:paraId="51259F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269" w:type="dxa"/>
            <w:vAlign w:val="center"/>
          </w:tcPr>
          <w:p w14:paraId="78FF1AA5">
            <w:pPr>
              <w:jc w:val="center"/>
              <w:rPr>
                <w:bCs/>
                <w:sz w:val="26"/>
                <w:szCs w:val="26"/>
              </w:rPr>
            </w:pPr>
            <w:r>
              <w:rPr>
                <w:rFonts w:ascii="Times New Roman" w:hAnsi="Times New Roman" w:cs="Times New Roman"/>
                <w:bCs/>
                <w:sz w:val="26"/>
                <w:szCs w:val="26"/>
              </w:rPr>
              <w:t>担保情况</w:t>
            </w:r>
          </w:p>
        </w:tc>
        <w:tc>
          <w:tcPr>
            <w:tcW w:w="6685" w:type="dxa"/>
            <w:gridSpan w:val="3"/>
            <w:vAlign w:val="center"/>
          </w:tcPr>
          <w:p w14:paraId="61D67F3D">
            <w:pPr>
              <w:jc w:val="center"/>
              <w:rPr>
                <w:bCs/>
                <w:sz w:val="26"/>
                <w:szCs w:val="26"/>
              </w:rPr>
            </w:pPr>
          </w:p>
        </w:tc>
      </w:tr>
      <w:tr w14:paraId="6DA2B9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0" w:hRule="atLeast"/>
          <w:jc w:val="center"/>
        </w:trPr>
        <w:tc>
          <w:tcPr>
            <w:tcW w:w="2269" w:type="dxa"/>
            <w:vAlign w:val="center"/>
          </w:tcPr>
          <w:p w14:paraId="075703EC">
            <w:pPr>
              <w:jc w:val="center"/>
              <w:rPr>
                <w:rFonts w:hint="eastAsia" w:ascii="Times New Roman" w:hAnsi="Times New Roman" w:cs="Times New Roman"/>
                <w:bCs/>
                <w:sz w:val="26"/>
                <w:szCs w:val="26"/>
                <w:lang w:eastAsia="zh-CN"/>
              </w:rPr>
            </w:pPr>
            <w:r>
              <w:rPr>
                <w:rFonts w:hint="eastAsia" w:ascii="Times New Roman" w:hAnsi="Times New Roman" w:cs="Times New Roman"/>
                <w:bCs/>
                <w:sz w:val="26"/>
                <w:szCs w:val="26"/>
                <w:lang w:eastAsia="zh-CN"/>
              </w:rPr>
              <w:t>集团公司</w:t>
            </w:r>
          </w:p>
          <w:p w14:paraId="660825F2">
            <w:pPr>
              <w:jc w:val="center"/>
              <w:rPr>
                <w:rFonts w:hint="eastAsia" w:eastAsia="宋体"/>
                <w:bCs/>
                <w:sz w:val="26"/>
                <w:szCs w:val="26"/>
                <w:lang w:eastAsia="zh-CN"/>
              </w:rPr>
            </w:pPr>
            <w:r>
              <w:rPr>
                <w:rFonts w:hint="eastAsia" w:ascii="Times New Roman" w:hAnsi="Times New Roman" w:cs="Times New Roman"/>
                <w:bCs/>
                <w:sz w:val="26"/>
                <w:szCs w:val="26"/>
                <w:lang w:eastAsia="zh-CN"/>
              </w:rPr>
              <w:t>（受托主管部门）</w:t>
            </w:r>
          </w:p>
          <w:p w14:paraId="550D7B1C">
            <w:pPr>
              <w:jc w:val="center"/>
              <w:rPr>
                <w:bCs/>
                <w:sz w:val="26"/>
                <w:szCs w:val="26"/>
              </w:rPr>
            </w:pPr>
            <w:r>
              <w:rPr>
                <w:rFonts w:ascii="Times New Roman" w:hAnsi="Times New Roman" w:cs="Times New Roman"/>
                <w:bCs/>
                <w:sz w:val="26"/>
                <w:szCs w:val="26"/>
              </w:rPr>
              <w:t>意见</w:t>
            </w:r>
          </w:p>
        </w:tc>
        <w:tc>
          <w:tcPr>
            <w:tcW w:w="6685" w:type="dxa"/>
            <w:gridSpan w:val="3"/>
            <w:vAlign w:val="center"/>
          </w:tcPr>
          <w:p w14:paraId="0D7AD3C7">
            <w:pPr>
              <w:rPr>
                <w:bCs/>
                <w:sz w:val="26"/>
                <w:szCs w:val="26"/>
              </w:rPr>
            </w:pPr>
          </w:p>
          <w:p w14:paraId="6392AFAC">
            <w:pPr>
              <w:rPr>
                <w:bCs/>
                <w:sz w:val="26"/>
                <w:szCs w:val="26"/>
              </w:rPr>
            </w:pPr>
          </w:p>
          <w:p w14:paraId="0290DF59">
            <w:pPr>
              <w:rPr>
                <w:bCs/>
                <w:sz w:val="26"/>
                <w:szCs w:val="26"/>
              </w:rPr>
            </w:pPr>
          </w:p>
          <w:p w14:paraId="733D2077">
            <w:pPr>
              <w:ind w:firstLine="4420" w:firstLineChars="1700"/>
              <w:rPr>
                <w:bCs/>
                <w:sz w:val="26"/>
                <w:szCs w:val="26"/>
              </w:rPr>
            </w:pPr>
            <w:r>
              <w:rPr>
                <w:rFonts w:ascii="Times New Roman" w:hAnsi="Times New Roman" w:cs="Times New Roman"/>
                <w:bCs/>
                <w:sz w:val="26"/>
                <w:szCs w:val="26"/>
              </w:rPr>
              <w:t>公司盖章</w:t>
            </w:r>
          </w:p>
          <w:p w14:paraId="71469570">
            <w:pPr>
              <w:ind w:firstLine="4160" w:firstLineChars="1600"/>
              <w:rPr>
                <w:bCs/>
                <w:sz w:val="26"/>
                <w:szCs w:val="26"/>
              </w:rPr>
            </w:pPr>
            <w:r>
              <w:rPr>
                <w:rFonts w:ascii="Times New Roman" w:hAnsi="Times New Roman" w:cs="Times New Roman"/>
                <w:bCs/>
                <w:sz w:val="26"/>
                <w:szCs w:val="26"/>
              </w:rPr>
              <w:t>负责人签字：</w:t>
            </w:r>
          </w:p>
        </w:tc>
      </w:tr>
      <w:tr w14:paraId="23BDB8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jc w:val="center"/>
        </w:trPr>
        <w:tc>
          <w:tcPr>
            <w:tcW w:w="2269" w:type="dxa"/>
            <w:vAlign w:val="center"/>
          </w:tcPr>
          <w:p w14:paraId="723BB7B0">
            <w:pPr>
              <w:jc w:val="center"/>
              <w:rPr>
                <w:rFonts w:hint="eastAsia" w:eastAsia="宋体"/>
                <w:bCs/>
                <w:sz w:val="26"/>
                <w:szCs w:val="26"/>
                <w:lang w:eastAsia="zh-CN"/>
              </w:rPr>
            </w:pPr>
            <w:r>
              <w:rPr>
                <w:rFonts w:ascii="Times New Roman" w:hAnsi="Times New Roman" w:cs="Times New Roman"/>
                <w:bCs/>
                <w:sz w:val="26"/>
                <w:szCs w:val="26"/>
              </w:rPr>
              <w:t>市</w:t>
            </w:r>
            <w:r>
              <w:rPr>
                <w:rFonts w:hint="eastAsia" w:ascii="Times New Roman" w:hAnsi="Times New Roman" w:cs="Times New Roman"/>
                <w:bCs/>
                <w:sz w:val="26"/>
                <w:szCs w:val="26"/>
                <w:lang w:eastAsia="zh-CN"/>
              </w:rPr>
              <w:t>国投集团</w:t>
            </w:r>
          </w:p>
          <w:p w14:paraId="772EB5F0">
            <w:pPr>
              <w:jc w:val="center"/>
              <w:rPr>
                <w:bCs/>
                <w:sz w:val="26"/>
                <w:szCs w:val="26"/>
              </w:rPr>
            </w:pPr>
            <w:r>
              <w:rPr>
                <w:rFonts w:ascii="Times New Roman" w:hAnsi="Times New Roman" w:cs="Times New Roman"/>
                <w:bCs/>
                <w:sz w:val="26"/>
                <w:szCs w:val="26"/>
              </w:rPr>
              <w:t>意见</w:t>
            </w:r>
          </w:p>
        </w:tc>
        <w:tc>
          <w:tcPr>
            <w:tcW w:w="6685" w:type="dxa"/>
            <w:gridSpan w:val="3"/>
            <w:vAlign w:val="center"/>
          </w:tcPr>
          <w:p w14:paraId="48934F0A">
            <w:pPr>
              <w:jc w:val="left"/>
              <w:rPr>
                <w:bCs/>
                <w:sz w:val="26"/>
                <w:szCs w:val="26"/>
              </w:rPr>
            </w:pPr>
          </w:p>
          <w:p w14:paraId="6D988CBB">
            <w:pPr>
              <w:pStyle w:val="4"/>
              <w:numPr>
                <w:ilvl w:val="0"/>
                <w:numId w:val="0"/>
              </w:numPr>
            </w:pPr>
          </w:p>
          <w:p w14:paraId="61752DEE">
            <w:pPr>
              <w:jc w:val="left"/>
              <w:rPr>
                <w:bCs/>
                <w:sz w:val="26"/>
                <w:szCs w:val="26"/>
              </w:rPr>
            </w:pPr>
          </w:p>
          <w:p w14:paraId="141783E7">
            <w:pPr>
              <w:ind w:firstLine="4420" w:firstLineChars="1700"/>
              <w:jc w:val="left"/>
              <w:rPr>
                <w:bCs/>
                <w:sz w:val="26"/>
                <w:szCs w:val="26"/>
              </w:rPr>
            </w:pPr>
            <w:r>
              <w:rPr>
                <w:rFonts w:ascii="Times New Roman" w:hAnsi="Times New Roman" w:cs="Times New Roman"/>
                <w:bCs/>
                <w:sz w:val="26"/>
                <w:szCs w:val="26"/>
              </w:rPr>
              <w:t>公司盖章</w:t>
            </w:r>
          </w:p>
          <w:p w14:paraId="73C55B4F">
            <w:pPr>
              <w:ind w:firstLine="4160" w:firstLineChars="1600"/>
              <w:jc w:val="left"/>
              <w:rPr>
                <w:bCs/>
                <w:sz w:val="26"/>
                <w:szCs w:val="26"/>
              </w:rPr>
            </w:pPr>
            <w:r>
              <w:rPr>
                <w:rFonts w:ascii="Times New Roman" w:hAnsi="Times New Roman" w:cs="Times New Roman"/>
                <w:bCs/>
                <w:sz w:val="26"/>
                <w:szCs w:val="26"/>
              </w:rPr>
              <w:t>负责人签字：</w:t>
            </w:r>
          </w:p>
        </w:tc>
      </w:tr>
    </w:tbl>
    <w:p w14:paraId="1442229D">
      <w:pPr>
        <w:tabs>
          <w:tab w:val="left" w:pos="2970"/>
        </w:tabs>
        <w:rPr>
          <w:rFonts w:hint="eastAsia" w:ascii="Times New Roman" w:hAnsi="Times New Roman" w:eastAsia="仿宋_GB2312"/>
          <w:sz w:val="28"/>
          <w:szCs w:val="28"/>
        </w:rPr>
      </w:pPr>
    </w:p>
    <w:p w14:paraId="20F1A7D6">
      <w:pPr>
        <w:tabs>
          <w:tab w:val="left" w:pos="2970"/>
        </w:tabs>
        <w:rPr>
          <w:rFonts w:ascii="Times New Roman" w:hAnsi="Times New Roman" w:eastAsia="仿宋_GB2312"/>
          <w:sz w:val="28"/>
          <w:szCs w:val="28"/>
        </w:rPr>
      </w:pPr>
    </w:p>
    <w:sectPr>
      <w:headerReference r:id="rId5" w:type="first"/>
      <w:headerReference r:id="rId3" w:type="default"/>
      <w:footerReference r:id="rId6" w:type="default"/>
      <w:headerReference r:id="rId4" w:type="even"/>
      <w:pgSz w:w="11906" w:h="16838"/>
      <w:pgMar w:top="1701" w:right="1531" w:bottom="1417" w:left="1531" w:header="851" w:footer="1418"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A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PMingLiUfalt">
    <w:altName w:val="MingLiU-ExtB"/>
    <w:panose1 w:val="00000000000000000000"/>
    <w:charset w:val="88"/>
    <w:family w:val="roman"/>
    <w:pitch w:val="default"/>
    <w:sig w:usb0="00000000" w:usb1="00000000" w:usb2="00000010" w:usb3="00000000" w:csb0="00100000" w:csb1="00000000"/>
  </w:font>
  <w:font w:name="MingLiU-ExtB">
    <w:panose1 w:val="02020500000000000000"/>
    <w:charset w:val="88"/>
    <w:family w:val="auto"/>
    <w:pitch w:val="default"/>
    <w:sig w:usb0="8000002F" w:usb1="02000008" w:usb2="00000000" w:usb3="00000000" w:csb0="0010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74352D">
    <w:pPr>
      <w:pStyle w:val="7"/>
      <w:framePr w:wrap="around" w:vAnchor="text" w:hAnchor="margin" w:xAlign="outside" w:y="1"/>
      <w:rPr>
        <w:rStyle w:val="14"/>
        <w:rFonts w:ascii="宋体" w:cs="宋体"/>
        <w:sz w:val="28"/>
        <w:szCs w:val="28"/>
      </w:rPr>
    </w:pPr>
    <w:r>
      <w:rPr>
        <w:rStyle w:val="14"/>
        <w:rFonts w:ascii="宋体" w:hAnsi="宋体" w:cs="宋体"/>
        <w:color w:val="FFFFFF"/>
        <w:sz w:val="28"/>
        <w:szCs w:val="28"/>
      </w:rPr>
      <w:t>—</w:t>
    </w:r>
    <w:r>
      <w:rPr>
        <w:rStyle w:val="14"/>
        <w:rFonts w:ascii="宋体" w:hAnsi="宋体" w:cs="宋体"/>
        <w:sz w:val="28"/>
        <w:szCs w:val="28"/>
      </w:rPr>
      <w:t xml:space="preserve">— </w:t>
    </w:r>
    <w:r>
      <w:rPr>
        <w:rStyle w:val="14"/>
        <w:rFonts w:ascii="宋体" w:hAnsi="宋体" w:cs="宋体"/>
        <w:sz w:val="28"/>
        <w:szCs w:val="28"/>
      </w:rPr>
      <w:fldChar w:fldCharType="begin"/>
    </w:r>
    <w:r>
      <w:rPr>
        <w:rStyle w:val="14"/>
        <w:rFonts w:ascii="宋体" w:hAnsi="宋体" w:cs="宋体"/>
        <w:sz w:val="28"/>
        <w:szCs w:val="28"/>
      </w:rPr>
      <w:instrText xml:space="preserve">PAGE  </w:instrText>
    </w:r>
    <w:r>
      <w:rPr>
        <w:rStyle w:val="14"/>
        <w:rFonts w:ascii="宋体" w:hAnsi="宋体" w:cs="宋体"/>
        <w:sz w:val="28"/>
        <w:szCs w:val="28"/>
      </w:rPr>
      <w:fldChar w:fldCharType="separate"/>
    </w:r>
    <w:r>
      <w:rPr>
        <w:rStyle w:val="14"/>
        <w:rFonts w:ascii="宋体" w:hAnsi="宋体" w:cs="宋体"/>
        <w:sz w:val="28"/>
        <w:szCs w:val="28"/>
      </w:rPr>
      <w:t>9</w:t>
    </w:r>
    <w:r>
      <w:rPr>
        <w:rStyle w:val="14"/>
        <w:rFonts w:ascii="宋体" w:hAnsi="宋体" w:cs="宋体"/>
        <w:sz w:val="28"/>
        <w:szCs w:val="28"/>
      </w:rPr>
      <w:fldChar w:fldCharType="end"/>
    </w:r>
    <w:r>
      <w:rPr>
        <w:rStyle w:val="14"/>
        <w:rFonts w:ascii="宋体" w:hAnsi="宋体" w:cs="宋体"/>
        <w:sz w:val="28"/>
        <w:szCs w:val="28"/>
      </w:rPr>
      <w:t xml:space="preserve"> —</w:t>
    </w:r>
    <w:r>
      <w:rPr>
        <w:rStyle w:val="14"/>
        <w:rFonts w:ascii="宋体" w:hAnsi="宋体" w:cs="宋体"/>
        <w:color w:val="FFFFFF"/>
        <w:sz w:val="28"/>
        <w:szCs w:val="28"/>
      </w:rPr>
      <w:t>—</w:t>
    </w:r>
  </w:p>
  <w:p w14:paraId="22455EEE">
    <w:pPr>
      <w:pStyle w:val="7"/>
      <w:ind w:right="360" w:firstLine="360"/>
      <w:rPr>
        <w:rFonts w:cs="Times New Roma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902A4F">
    <w:pPr>
      <w:pStyle w:val="8"/>
      <w:pBdr>
        <w:top w:val="none" w:color="auto" w:sz="0" w:space="0"/>
        <w:left w:val="none" w:color="auto" w:sz="0" w:space="0"/>
        <w:bottom w:val="none" w:color="auto" w:sz="0" w:space="0"/>
        <w:right w:val="none" w:color="auto" w:sz="0" w:space="0"/>
      </w:pBdr>
      <w:rPr>
        <w:rFonts w:cs="Times New Roma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1E0838">
    <w:pPr>
      <w:pStyle w:val="8"/>
      <w:pBdr>
        <w:top w:val="none" w:color="auto" w:sz="0" w:space="0"/>
        <w:left w:val="none" w:color="auto" w:sz="0" w:space="0"/>
        <w:bottom w:val="none" w:color="auto" w:sz="0" w:space="0"/>
        <w:right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9A0A95">
    <w:pPr>
      <w:pStyle w:val="8"/>
      <w:pBdr>
        <w:top w:val="none" w:color="auto" w:sz="0" w:space="0"/>
        <w:left w:val="none" w:color="auto" w:sz="0" w:space="0"/>
        <w:bottom w:val="none" w:color="auto" w:sz="0" w:space="0"/>
        <w:right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AA893D"/>
    <w:multiLevelType w:val="singleLevel"/>
    <w:tmpl w:val="8DAA893D"/>
    <w:lvl w:ilvl="0" w:tentative="0">
      <w:start w:val="7"/>
      <w:numFmt w:val="chineseCounting"/>
      <w:suff w:val="space"/>
      <w:lvlText w:val="第%1条"/>
      <w:lvlJc w:val="left"/>
      <w:rPr>
        <w:rFonts w:hint="eastAsia"/>
      </w:rPr>
    </w:lvl>
  </w:abstractNum>
  <w:abstractNum w:abstractNumId="1">
    <w:nsid w:val="DA0A5D10"/>
    <w:multiLevelType w:val="singleLevel"/>
    <w:tmpl w:val="DA0A5D10"/>
    <w:lvl w:ilvl="0" w:tentative="0">
      <w:start w:val="3"/>
      <w:numFmt w:val="chineseCounting"/>
      <w:suff w:val="nothing"/>
      <w:lvlText w:val="（%1）"/>
      <w:lvlJc w:val="left"/>
      <w:pPr>
        <w:ind w:left="-10"/>
      </w:pPr>
      <w:rPr>
        <w:rFonts w:hint="eastAsia"/>
        <w:b w:val="0"/>
        <w:bCs w:val="0"/>
        <w:color w:val="auto"/>
      </w:rPr>
    </w:lvl>
  </w:abstractNum>
  <w:abstractNum w:abstractNumId="2">
    <w:nsid w:val="F7AF2345"/>
    <w:multiLevelType w:val="singleLevel"/>
    <w:tmpl w:val="F7AF2345"/>
    <w:lvl w:ilvl="0" w:tentative="0">
      <w:start w:val="1"/>
      <w:numFmt w:val="decimal"/>
      <w:pStyle w:val="4"/>
      <w:lvlText w:val="%1."/>
      <w:lvlJc w:val="left"/>
      <w:pPr>
        <w:tabs>
          <w:tab w:val="left" w:pos="1200"/>
        </w:tabs>
        <w:ind w:left="1200" w:hanging="36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embedSystemFonts/>
  <w:bordersDoNotSurroundHeader w:val="0"/>
  <w:bordersDoNotSurroundFooter w:val="0"/>
  <w:documentProtection w:enforcement="0"/>
  <w:defaultTabStop w:val="420"/>
  <w:doNotHyphenateCaps/>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IxZTg3Yzg3ZTIzZjkwZjE0ZTBmZTZhY2U5YjBjZmMifQ=="/>
    <w:docVar w:name="KSO_WPS_MARK_KEY" w:val="1324dbc8-07ad-46de-9046-3c4ecde4b6bc"/>
  </w:docVars>
  <w:rsids>
    <w:rsidRoot w:val="00EB0042"/>
    <w:rsid w:val="00001A81"/>
    <w:rsid w:val="000133BF"/>
    <w:rsid w:val="00013648"/>
    <w:rsid w:val="00021E3B"/>
    <w:rsid w:val="000418C8"/>
    <w:rsid w:val="00043914"/>
    <w:rsid w:val="000A1A00"/>
    <w:rsid w:val="000A4717"/>
    <w:rsid w:val="000C6B15"/>
    <w:rsid w:val="000C78E0"/>
    <w:rsid w:val="000E1C98"/>
    <w:rsid w:val="000F3FA4"/>
    <w:rsid w:val="00102BB1"/>
    <w:rsid w:val="00103DDA"/>
    <w:rsid w:val="00111C01"/>
    <w:rsid w:val="001218D0"/>
    <w:rsid w:val="00143057"/>
    <w:rsid w:val="00160412"/>
    <w:rsid w:val="00164168"/>
    <w:rsid w:val="00190B40"/>
    <w:rsid w:val="001935EA"/>
    <w:rsid w:val="001A1F57"/>
    <w:rsid w:val="001B15F0"/>
    <w:rsid w:val="001B3F25"/>
    <w:rsid w:val="001C2F18"/>
    <w:rsid w:val="001C5650"/>
    <w:rsid w:val="001D1AF3"/>
    <w:rsid w:val="001D25C3"/>
    <w:rsid w:val="001F01CE"/>
    <w:rsid w:val="001F15DD"/>
    <w:rsid w:val="002235F3"/>
    <w:rsid w:val="002244AC"/>
    <w:rsid w:val="0023174C"/>
    <w:rsid w:val="00233A99"/>
    <w:rsid w:val="00234F5B"/>
    <w:rsid w:val="00247BAD"/>
    <w:rsid w:val="00255B8D"/>
    <w:rsid w:val="00290EDE"/>
    <w:rsid w:val="00291EF2"/>
    <w:rsid w:val="002E10E1"/>
    <w:rsid w:val="002E4CE5"/>
    <w:rsid w:val="002F28F8"/>
    <w:rsid w:val="003266F1"/>
    <w:rsid w:val="0034732E"/>
    <w:rsid w:val="00363B43"/>
    <w:rsid w:val="00392BF6"/>
    <w:rsid w:val="00394D6B"/>
    <w:rsid w:val="003D2599"/>
    <w:rsid w:val="003F5CF2"/>
    <w:rsid w:val="003F77D6"/>
    <w:rsid w:val="00407E20"/>
    <w:rsid w:val="004116E6"/>
    <w:rsid w:val="00416A7F"/>
    <w:rsid w:val="00466201"/>
    <w:rsid w:val="00466402"/>
    <w:rsid w:val="004B6BFA"/>
    <w:rsid w:val="004C1E62"/>
    <w:rsid w:val="004C4533"/>
    <w:rsid w:val="004C46F7"/>
    <w:rsid w:val="004E407D"/>
    <w:rsid w:val="004F367E"/>
    <w:rsid w:val="0050189A"/>
    <w:rsid w:val="00530F96"/>
    <w:rsid w:val="005468E8"/>
    <w:rsid w:val="00546BD6"/>
    <w:rsid w:val="00562FA7"/>
    <w:rsid w:val="00571C02"/>
    <w:rsid w:val="0058431F"/>
    <w:rsid w:val="00584E05"/>
    <w:rsid w:val="0058693A"/>
    <w:rsid w:val="00591F75"/>
    <w:rsid w:val="005B7A7D"/>
    <w:rsid w:val="005C46F9"/>
    <w:rsid w:val="005C52B1"/>
    <w:rsid w:val="005D25AA"/>
    <w:rsid w:val="005D3F7A"/>
    <w:rsid w:val="005D5916"/>
    <w:rsid w:val="00600F5D"/>
    <w:rsid w:val="00625611"/>
    <w:rsid w:val="006416E7"/>
    <w:rsid w:val="006502E3"/>
    <w:rsid w:val="00667C9B"/>
    <w:rsid w:val="006701D5"/>
    <w:rsid w:val="006710BD"/>
    <w:rsid w:val="00680463"/>
    <w:rsid w:val="00681FA9"/>
    <w:rsid w:val="00684801"/>
    <w:rsid w:val="00684B16"/>
    <w:rsid w:val="00694C44"/>
    <w:rsid w:val="006A7AF4"/>
    <w:rsid w:val="006B03EA"/>
    <w:rsid w:val="006B7824"/>
    <w:rsid w:val="006F3D7A"/>
    <w:rsid w:val="00705F7B"/>
    <w:rsid w:val="00711FE9"/>
    <w:rsid w:val="0071495A"/>
    <w:rsid w:val="007158E5"/>
    <w:rsid w:val="0073052A"/>
    <w:rsid w:val="007865A0"/>
    <w:rsid w:val="0079233C"/>
    <w:rsid w:val="007A20E1"/>
    <w:rsid w:val="007A2F5B"/>
    <w:rsid w:val="007B6CC9"/>
    <w:rsid w:val="007D35CC"/>
    <w:rsid w:val="007E045C"/>
    <w:rsid w:val="007E2791"/>
    <w:rsid w:val="007E6022"/>
    <w:rsid w:val="007F5062"/>
    <w:rsid w:val="007F5442"/>
    <w:rsid w:val="00801C1E"/>
    <w:rsid w:val="00807D08"/>
    <w:rsid w:val="0081120C"/>
    <w:rsid w:val="00842EF7"/>
    <w:rsid w:val="00844F00"/>
    <w:rsid w:val="00892926"/>
    <w:rsid w:val="008A5BE8"/>
    <w:rsid w:val="008C4AE1"/>
    <w:rsid w:val="008C4B38"/>
    <w:rsid w:val="008E48CC"/>
    <w:rsid w:val="008F0BAA"/>
    <w:rsid w:val="008F15C8"/>
    <w:rsid w:val="00900883"/>
    <w:rsid w:val="00913DE5"/>
    <w:rsid w:val="0093038C"/>
    <w:rsid w:val="009345FD"/>
    <w:rsid w:val="00936EF5"/>
    <w:rsid w:val="00945758"/>
    <w:rsid w:val="009514F6"/>
    <w:rsid w:val="0099154E"/>
    <w:rsid w:val="00992568"/>
    <w:rsid w:val="00992691"/>
    <w:rsid w:val="009A210D"/>
    <w:rsid w:val="009A2BF5"/>
    <w:rsid w:val="009C4BB1"/>
    <w:rsid w:val="009C513F"/>
    <w:rsid w:val="009D0FC8"/>
    <w:rsid w:val="009E383B"/>
    <w:rsid w:val="00A01FEC"/>
    <w:rsid w:val="00A27272"/>
    <w:rsid w:val="00A3788F"/>
    <w:rsid w:val="00A63A3F"/>
    <w:rsid w:val="00A643B6"/>
    <w:rsid w:val="00A67FD4"/>
    <w:rsid w:val="00A8196E"/>
    <w:rsid w:val="00A84F44"/>
    <w:rsid w:val="00B165D8"/>
    <w:rsid w:val="00B40215"/>
    <w:rsid w:val="00B75588"/>
    <w:rsid w:val="00B81AF0"/>
    <w:rsid w:val="00B8751E"/>
    <w:rsid w:val="00B93E98"/>
    <w:rsid w:val="00BA1178"/>
    <w:rsid w:val="00BA4E65"/>
    <w:rsid w:val="00BA561E"/>
    <w:rsid w:val="00BB0D89"/>
    <w:rsid w:val="00BC0F18"/>
    <w:rsid w:val="00BC4F4F"/>
    <w:rsid w:val="00BC74A5"/>
    <w:rsid w:val="00BC775C"/>
    <w:rsid w:val="00BD2597"/>
    <w:rsid w:val="00BD4A67"/>
    <w:rsid w:val="00BF13C5"/>
    <w:rsid w:val="00C00122"/>
    <w:rsid w:val="00C2448D"/>
    <w:rsid w:val="00C27F2A"/>
    <w:rsid w:val="00C32D3D"/>
    <w:rsid w:val="00C526EC"/>
    <w:rsid w:val="00C629C2"/>
    <w:rsid w:val="00C65D17"/>
    <w:rsid w:val="00C8065E"/>
    <w:rsid w:val="00C8153A"/>
    <w:rsid w:val="00CA50BE"/>
    <w:rsid w:val="00CA784A"/>
    <w:rsid w:val="00CB1A85"/>
    <w:rsid w:val="00CB4DEE"/>
    <w:rsid w:val="00CB73D6"/>
    <w:rsid w:val="00CD57C5"/>
    <w:rsid w:val="00CF7492"/>
    <w:rsid w:val="00D10CB6"/>
    <w:rsid w:val="00D32C37"/>
    <w:rsid w:val="00D35BC2"/>
    <w:rsid w:val="00D4596C"/>
    <w:rsid w:val="00D56D6C"/>
    <w:rsid w:val="00DB4579"/>
    <w:rsid w:val="00DC3CEB"/>
    <w:rsid w:val="00E037C3"/>
    <w:rsid w:val="00E132CC"/>
    <w:rsid w:val="00E21642"/>
    <w:rsid w:val="00E3656B"/>
    <w:rsid w:val="00E442EE"/>
    <w:rsid w:val="00E46DB5"/>
    <w:rsid w:val="00E53A6B"/>
    <w:rsid w:val="00E54E7D"/>
    <w:rsid w:val="00E551F4"/>
    <w:rsid w:val="00E564DD"/>
    <w:rsid w:val="00E65399"/>
    <w:rsid w:val="00EA35FA"/>
    <w:rsid w:val="00EA719A"/>
    <w:rsid w:val="00EA7D0B"/>
    <w:rsid w:val="00EB0042"/>
    <w:rsid w:val="00EB26CF"/>
    <w:rsid w:val="00EB5F3C"/>
    <w:rsid w:val="00EB6639"/>
    <w:rsid w:val="00EC2CC7"/>
    <w:rsid w:val="00ED01B4"/>
    <w:rsid w:val="00EE1906"/>
    <w:rsid w:val="00F07401"/>
    <w:rsid w:val="00F0755D"/>
    <w:rsid w:val="00F13C36"/>
    <w:rsid w:val="00F15380"/>
    <w:rsid w:val="00F169C2"/>
    <w:rsid w:val="00F30933"/>
    <w:rsid w:val="00F527CE"/>
    <w:rsid w:val="00F80089"/>
    <w:rsid w:val="00F92E03"/>
    <w:rsid w:val="00F94974"/>
    <w:rsid w:val="00FA0DFF"/>
    <w:rsid w:val="00FA144B"/>
    <w:rsid w:val="00FB4EE4"/>
    <w:rsid w:val="00FD349B"/>
    <w:rsid w:val="00FD5936"/>
    <w:rsid w:val="00FE2EB8"/>
    <w:rsid w:val="00FE2FD7"/>
    <w:rsid w:val="00FE745D"/>
    <w:rsid w:val="00FE7F3D"/>
    <w:rsid w:val="00FF267C"/>
    <w:rsid w:val="01174873"/>
    <w:rsid w:val="04092C9E"/>
    <w:rsid w:val="061A7D0E"/>
    <w:rsid w:val="067032E2"/>
    <w:rsid w:val="09A22E95"/>
    <w:rsid w:val="0B887F34"/>
    <w:rsid w:val="0E1314D8"/>
    <w:rsid w:val="0E430BBB"/>
    <w:rsid w:val="0EA2480E"/>
    <w:rsid w:val="0F262FFC"/>
    <w:rsid w:val="0F6F6CD8"/>
    <w:rsid w:val="0FAA6C51"/>
    <w:rsid w:val="10740A78"/>
    <w:rsid w:val="13137723"/>
    <w:rsid w:val="131E0B75"/>
    <w:rsid w:val="15E302B4"/>
    <w:rsid w:val="16DD7CC9"/>
    <w:rsid w:val="180C6BE2"/>
    <w:rsid w:val="19185113"/>
    <w:rsid w:val="19C21230"/>
    <w:rsid w:val="1B137ACA"/>
    <w:rsid w:val="1BBE1FA1"/>
    <w:rsid w:val="1C0D3E53"/>
    <w:rsid w:val="1D225F5E"/>
    <w:rsid w:val="1D80441A"/>
    <w:rsid w:val="1F132F80"/>
    <w:rsid w:val="1FD04999"/>
    <w:rsid w:val="209B0B03"/>
    <w:rsid w:val="20EC75B1"/>
    <w:rsid w:val="212B2711"/>
    <w:rsid w:val="2358044C"/>
    <w:rsid w:val="25676CBC"/>
    <w:rsid w:val="256C67D8"/>
    <w:rsid w:val="26413421"/>
    <w:rsid w:val="275A34C6"/>
    <w:rsid w:val="284833BF"/>
    <w:rsid w:val="28BC5ABB"/>
    <w:rsid w:val="29FB175E"/>
    <w:rsid w:val="2C1365BF"/>
    <w:rsid w:val="2CC4625E"/>
    <w:rsid w:val="2D314CC9"/>
    <w:rsid w:val="2EBA6F40"/>
    <w:rsid w:val="2F803B5B"/>
    <w:rsid w:val="2F810821"/>
    <w:rsid w:val="2FCC6F2B"/>
    <w:rsid w:val="30071BF1"/>
    <w:rsid w:val="30442841"/>
    <w:rsid w:val="31060288"/>
    <w:rsid w:val="32754D34"/>
    <w:rsid w:val="32B472C6"/>
    <w:rsid w:val="330506FF"/>
    <w:rsid w:val="33B340A3"/>
    <w:rsid w:val="36BB1AA7"/>
    <w:rsid w:val="37645D98"/>
    <w:rsid w:val="37D33820"/>
    <w:rsid w:val="38C77879"/>
    <w:rsid w:val="391E10A1"/>
    <w:rsid w:val="3DDB1DF6"/>
    <w:rsid w:val="3F9C0126"/>
    <w:rsid w:val="3FC4377B"/>
    <w:rsid w:val="405F16F6"/>
    <w:rsid w:val="41EA1493"/>
    <w:rsid w:val="45115FD7"/>
    <w:rsid w:val="45943589"/>
    <w:rsid w:val="45951740"/>
    <w:rsid w:val="45E5269D"/>
    <w:rsid w:val="484918A5"/>
    <w:rsid w:val="48E1554F"/>
    <w:rsid w:val="4972249A"/>
    <w:rsid w:val="4A7C0DFC"/>
    <w:rsid w:val="4C31537C"/>
    <w:rsid w:val="4D426D87"/>
    <w:rsid w:val="4DDD3C7C"/>
    <w:rsid w:val="4E562CAD"/>
    <w:rsid w:val="4F894238"/>
    <w:rsid w:val="51E90E1F"/>
    <w:rsid w:val="536D46D1"/>
    <w:rsid w:val="53930ABE"/>
    <w:rsid w:val="54120B01"/>
    <w:rsid w:val="54640D16"/>
    <w:rsid w:val="546D1415"/>
    <w:rsid w:val="5632649F"/>
    <w:rsid w:val="565C1286"/>
    <w:rsid w:val="57D97BC2"/>
    <w:rsid w:val="5A3648E2"/>
    <w:rsid w:val="5AC67304"/>
    <w:rsid w:val="5AEB3E5A"/>
    <w:rsid w:val="5B045D83"/>
    <w:rsid w:val="5BA02E96"/>
    <w:rsid w:val="5C666F66"/>
    <w:rsid w:val="5CBA590E"/>
    <w:rsid w:val="5D0336DD"/>
    <w:rsid w:val="5F253749"/>
    <w:rsid w:val="5F391276"/>
    <w:rsid w:val="5FFB68ED"/>
    <w:rsid w:val="60A5242A"/>
    <w:rsid w:val="614844C6"/>
    <w:rsid w:val="64A36658"/>
    <w:rsid w:val="64F93CBE"/>
    <w:rsid w:val="677F6056"/>
    <w:rsid w:val="680341F8"/>
    <w:rsid w:val="68FC3E4B"/>
    <w:rsid w:val="69E228CC"/>
    <w:rsid w:val="6A645994"/>
    <w:rsid w:val="6AA14535"/>
    <w:rsid w:val="6B851761"/>
    <w:rsid w:val="6DA75F87"/>
    <w:rsid w:val="6E11552E"/>
    <w:rsid w:val="6EF82058"/>
    <w:rsid w:val="6F232206"/>
    <w:rsid w:val="6FBF1828"/>
    <w:rsid w:val="70B601E1"/>
    <w:rsid w:val="718B601C"/>
    <w:rsid w:val="72142583"/>
    <w:rsid w:val="74893EFC"/>
    <w:rsid w:val="769767EC"/>
    <w:rsid w:val="77B64330"/>
    <w:rsid w:val="77C54462"/>
    <w:rsid w:val="78245C46"/>
    <w:rsid w:val="78FE13CD"/>
    <w:rsid w:val="79733540"/>
    <w:rsid w:val="79A03FCF"/>
    <w:rsid w:val="7A662F4C"/>
    <w:rsid w:val="7AAB3395"/>
    <w:rsid w:val="7C770A82"/>
    <w:rsid w:val="7D290FF4"/>
    <w:rsid w:val="7D606668"/>
    <w:rsid w:val="7D862C0B"/>
    <w:rsid w:val="7DDD499F"/>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qFormat="1" w:unhideWhenUsed="0" w:uiPriority="0" w:semiHidden="0"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5"/>
    <w:qFormat/>
    <w:uiPriority w:val="99"/>
    <w:pPr>
      <w:spacing w:after="120"/>
    </w:pPr>
  </w:style>
  <w:style w:type="paragraph" w:styleId="3">
    <w:name w:val="Body Text Indent"/>
    <w:basedOn w:val="1"/>
    <w:link w:val="16"/>
    <w:qFormat/>
    <w:uiPriority w:val="99"/>
    <w:pPr>
      <w:pBdr>
        <w:bottom w:val="single" w:color="auto" w:sz="4" w:space="1"/>
      </w:pBdr>
      <w:spacing w:before="100" w:beforeAutospacing="1" w:after="100" w:afterAutospacing="1" w:line="580" w:lineRule="exact"/>
      <w:ind w:left="960" w:hanging="960" w:hangingChars="300"/>
    </w:pPr>
    <w:rPr>
      <w:sz w:val="32"/>
      <w:szCs w:val="32"/>
    </w:rPr>
  </w:style>
  <w:style w:type="paragraph" w:styleId="4">
    <w:name w:val="List Number 3"/>
    <w:basedOn w:val="1"/>
    <w:qFormat/>
    <w:uiPriority w:val="0"/>
    <w:pPr>
      <w:numPr>
        <w:ilvl w:val="0"/>
        <w:numId w:val="1"/>
      </w:numPr>
    </w:pPr>
    <w:rPr>
      <w:rFonts w:ascii="Times New Roman" w:hAnsi="Times New Roman" w:cs="Times New Roman"/>
      <w:szCs w:val="20"/>
    </w:rPr>
  </w:style>
  <w:style w:type="paragraph" w:styleId="5">
    <w:name w:val="Date"/>
    <w:basedOn w:val="1"/>
    <w:next w:val="1"/>
    <w:link w:val="22"/>
    <w:semiHidden/>
    <w:unhideWhenUsed/>
    <w:qFormat/>
    <w:uiPriority w:val="99"/>
    <w:pPr>
      <w:ind w:left="100" w:leftChars="2500"/>
    </w:pPr>
  </w:style>
  <w:style w:type="paragraph" w:styleId="6">
    <w:name w:val="Balloon Text"/>
    <w:basedOn w:val="1"/>
    <w:link w:val="17"/>
    <w:semiHidden/>
    <w:qFormat/>
    <w:uiPriority w:val="99"/>
    <w:rPr>
      <w:sz w:val="18"/>
      <w:szCs w:val="18"/>
    </w:rPr>
  </w:style>
  <w:style w:type="paragraph" w:styleId="7">
    <w:name w:val="footer"/>
    <w:basedOn w:val="1"/>
    <w:link w:val="18"/>
    <w:qFormat/>
    <w:uiPriority w:val="99"/>
    <w:pPr>
      <w:tabs>
        <w:tab w:val="center" w:pos="4153"/>
        <w:tab w:val="right" w:pos="8306"/>
      </w:tabs>
      <w:snapToGrid w:val="0"/>
      <w:jc w:val="left"/>
    </w:pPr>
    <w:rPr>
      <w:sz w:val="18"/>
      <w:szCs w:val="18"/>
    </w:rPr>
  </w:style>
  <w:style w:type="paragraph" w:styleId="8">
    <w:name w:val="header"/>
    <w:basedOn w:val="1"/>
    <w:link w:val="19"/>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szCs w:val="18"/>
    </w:rPr>
  </w:style>
  <w:style w:type="paragraph" w:styleId="9">
    <w:name w:val="Normal (Web)"/>
    <w:basedOn w:val="1"/>
    <w:qFormat/>
    <w:uiPriority w:val="0"/>
    <w:pPr>
      <w:spacing w:beforeAutospacing="1" w:afterAutospacing="1"/>
      <w:jc w:val="left"/>
    </w:pPr>
    <w:rPr>
      <w:kern w:val="0"/>
      <w:sz w:val="24"/>
      <w:szCs w:val="24"/>
    </w:rPr>
  </w:style>
  <w:style w:type="table" w:styleId="11">
    <w:name w:val="Table Grid"/>
    <w:basedOn w:val="10"/>
    <w:qFormat/>
    <w:locked/>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Strong"/>
    <w:basedOn w:val="12"/>
    <w:qFormat/>
    <w:uiPriority w:val="99"/>
    <w:rPr>
      <w:rFonts w:cs="Times New Roman"/>
      <w:b/>
      <w:bCs/>
    </w:rPr>
  </w:style>
  <w:style w:type="character" w:styleId="14">
    <w:name w:val="page number"/>
    <w:basedOn w:val="12"/>
    <w:qFormat/>
    <w:uiPriority w:val="99"/>
    <w:rPr>
      <w:rFonts w:cs="Times New Roman"/>
    </w:rPr>
  </w:style>
  <w:style w:type="character" w:customStyle="1" w:styleId="15">
    <w:name w:val="正文文本 Char"/>
    <w:basedOn w:val="12"/>
    <w:link w:val="2"/>
    <w:semiHidden/>
    <w:qFormat/>
    <w:locked/>
    <w:uiPriority w:val="99"/>
    <w:rPr>
      <w:rFonts w:ascii="Calibri" w:hAnsi="Calibri" w:cs="Calibri"/>
      <w:sz w:val="21"/>
      <w:szCs w:val="21"/>
    </w:rPr>
  </w:style>
  <w:style w:type="character" w:customStyle="1" w:styleId="16">
    <w:name w:val="正文文本缩进 Char"/>
    <w:basedOn w:val="12"/>
    <w:link w:val="3"/>
    <w:semiHidden/>
    <w:qFormat/>
    <w:locked/>
    <w:uiPriority w:val="99"/>
    <w:rPr>
      <w:rFonts w:ascii="Calibri" w:hAnsi="Calibri" w:cs="Calibri"/>
    </w:rPr>
  </w:style>
  <w:style w:type="character" w:customStyle="1" w:styleId="17">
    <w:name w:val="批注框文本 Char"/>
    <w:basedOn w:val="12"/>
    <w:link w:val="6"/>
    <w:semiHidden/>
    <w:qFormat/>
    <w:locked/>
    <w:uiPriority w:val="99"/>
    <w:rPr>
      <w:rFonts w:ascii="Calibri" w:hAnsi="Calibri" w:cs="Calibri"/>
      <w:sz w:val="18"/>
      <w:szCs w:val="18"/>
    </w:rPr>
  </w:style>
  <w:style w:type="character" w:customStyle="1" w:styleId="18">
    <w:name w:val="页脚 Char"/>
    <w:basedOn w:val="12"/>
    <w:link w:val="7"/>
    <w:qFormat/>
    <w:locked/>
    <w:uiPriority w:val="99"/>
    <w:rPr>
      <w:rFonts w:ascii="Calibri" w:hAnsi="Calibri" w:eastAsia="宋体" w:cs="Calibri"/>
      <w:sz w:val="18"/>
      <w:szCs w:val="18"/>
    </w:rPr>
  </w:style>
  <w:style w:type="character" w:customStyle="1" w:styleId="19">
    <w:name w:val="页眉 Char"/>
    <w:basedOn w:val="12"/>
    <w:link w:val="8"/>
    <w:qFormat/>
    <w:locked/>
    <w:uiPriority w:val="99"/>
    <w:rPr>
      <w:rFonts w:ascii="Calibri" w:hAnsi="Calibri" w:eastAsia="宋体" w:cs="Calibri"/>
      <w:sz w:val="18"/>
      <w:szCs w:val="18"/>
    </w:rPr>
  </w:style>
  <w:style w:type="paragraph" w:customStyle="1" w:styleId="20">
    <w:name w:val="标题 11"/>
    <w:basedOn w:val="1"/>
    <w:qFormat/>
    <w:uiPriority w:val="99"/>
    <w:pPr>
      <w:autoSpaceDE w:val="0"/>
      <w:autoSpaceDN w:val="0"/>
      <w:ind w:left="182"/>
      <w:jc w:val="left"/>
      <w:outlineLvl w:val="1"/>
    </w:pPr>
    <w:rPr>
      <w:rFonts w:ascii="PMingLiUfalt" w:hAnsi="PMingLiUfalt" w:eastAsia="PMingLiUfalt" w:cs="PMingLiUfalt"/>
      <w:kern w:val="0"/>
      <w:sz w:val="44"/>
      <w:szCs w:val="44"/>
      <w:lang w:val="zh-CN"/>
    </w:rPr>
  </w:style>
  <w:style w:type="paragraph" w:customStyle="1" w:styleId="21">
    <w:name w:val="样式 正文缩进 + 首行缩进:  2 字符"/>
    <w:qFormat/>
    <w:uiPriority w:val="99"/>
    <w:pPr>
      <w:ind w:firstLine="480"/>
    </w:pPr>
    <w:rPr>
      <w:rFonts w:ascii="Times New Roman" w:hAnsi="Times New Roman" w:eastAsia="宋体" w:cs="Times New Roman"/>
      <w:sz w:val="21"/>
      <w:szCs w:val="22"/>
      <w:lang w:val="en-US" w:eastAsia="zh-CN" w:bidi="ar-SA"/>
    </w:rPr>
  </w:style>
  <w:style w:type="character" w:customStyle="1" w:styleId="22">
    <w:name w:val="日期 Char"/>
    <w:basedOn w:val="12"/>
    <w:link w:val="5"/>
    <w:semiHidden/>
    <w:qFormat/>
    <w:uiPriority w:val="99"/>
    <w:rPr>
      <w:rFonts w:ascii="Calibri" w:hAnsi="Calibri" w:cs="Calibri"/>
      <w:kern w:val="2"/>
      <w:sz w:val="21"/>
      <w:szCs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XFKJ.com</Company>
  <Pages>7</Pages>
  <Words>2679</Words>
  <Characters>2685</Characters>
  <Lines>19</Lines>
  <Paragraphs>5</Paragraphs>
  <TotalTime>42</TotalTime>
  <ScaleCrop>false</ScaleCrop>
  <LinksUpToDate>false</LinksUpToDate>
  <CharactersWithSpaces>2777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2022-06-06T08:48:00Z</dcterms:created>
  <dc:creator>Administrator</dc:creator>
  <cp:lastModifiedBy>It's a .</cp:lastModifiedBy>
  <cp:lastPrinted>2025-03-18T08:26:10Z</cp:lastPrinted>
  <dcterms:modified xsi:type="dcterms:W3CDTF">2025-03-18T08:50:09Z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1F7F0C219F0B43C3A5EED5CC8B96C02D</vt:lpwstr>
  </property>
  <property fmtid="{D5CDD505-2E9C-101B-9397-08002B2CF9AE}" pid="4" name="KSOTemplateDocerSaveRecord">
    <vt:lpwstr>eyJoZGlkIjoiOGEzMmQyM2FkZWUxOWJiMzY2MDNkMjYwYjJjMTViMGUiLCJ1c2VySWQiOiI3NjA3Nzk1MzkifQ==</vt:lpwstr>
  </property>
</Properties>
</file>