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《2025年乐清市水稻机插秧作业补贴实施方案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（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的起草说明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000000"/>
          <w:kern w:val="0"/>
        </w:rPr>
      </w:pPr>
      <w:r>
        <w:rPr>
          <w:color w:val="000000"/>
          <w:kern w:val="0"/>
        </w:rPr>
        <w:t>现就</w:t>
      </w:r>
      <w:r>
        <w:rPr>
          <w:rFonts w:hint="eastAsia"/>
          <w:color w:val="000000"/>
          <w:kern w:val="0"/>
          <w:lang w:val="en-US" w:eastAsia="zh-CN"/>
        </w:rPr>
        <w:t>《2025年乐清市水稻机插秧作业补贴实施方案》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  <w:lang w:val="en-US" w:eastAsia="zh-CN"/>
        </w:rPr>
        <w:t>草案送审稿</w:t>
      </w:r>
      <w:r>
        <w:rPr>
          <w:rFonts w:hint="eastAsia"/>
          <w:color w:val="000000"/>
          <w:kern w:val="0"/>
        </w:rPr>
        <w:t>）</w:t>
      </w:r>
      <w:r>
        <w:rPr>
          <w:color w:val="000000"/>
          <w:kern w:val="0"/>
        </w:rPr>
        <w:t>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一</w:t>
      </w:r>
      <w:r>
        <w:rPr>
          <w:rFonts w:hint="eastAsia" w:ascii="黑体" w:hAnsi="黑体" w:eastAsia="黑体"/>
          <w:kern w:val="0"/>
        </w:rPr>
        <w:t>、</w:t>
      </w:r>
      <w:r>
        <w:rPr>
          <w:rFonts w:ascii="黑体" w:hAnsi="黑体" w:eastAsia="黑体"/>
          <w:kern w:val="0"/>
        </w:rPr>
        <w:t>文件制定背景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认真落实农业农村部和省委、省政府有关部署，</w:t>
      </w:r>
      <w:r>
        <w:rPr>
          <w:rFonts w:hint="eastAsia" w:ascii="仿宋_GB2312" w:hAnsi="仿宋_GB2312" w:cs="仿宋_GB2312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我省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以创建丘陵山区适用小型农业机械推广应用先导区为契机，深入实施农业“双强”行动，强化农业“机器换人”高质量发展先行县创建</w:t>
      </w:r>
      <w:r>
        <w:rPr>
          <w:rFonts w:hint="eastAsia" w:ascii="仿宋_GB2312" w:hAnsi="仿宋_GB2312" w:cs="仿宋_GB2312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我市水稻机械化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种植水平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，保障粮食持续增产和农民持续增收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乐清市成功申报了水稻机插省级试点。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通过试点创建，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年全市水稻机插率达到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％以上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二、文件涉法内容说明（制定依据）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文件依据《浙江省农业农村现代化先行资金管理办法》(浙财农(2024]3号)和《浙江省财政厅浙江省农业农村厅关于提前下达2025年省农业农村现代化先行资金的通知》(浙财农〔2024]82号)、浙江省农业农村厅关于印发《浙江省水稻机插工作推进行动方案》的通知（浙农专发〔2025〕14号）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三、文件制定过程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kern w:val="0"/>
        </w:rPr>
      </w:pPr>
      <w:r>
        <w:rPr>
          <w:kern w:val="0"/>
        </w:rPr>
        <w:t>该文件</w:t>
      </w:r>
      <w:r>
        <w:rPr>
          <w:rFonts w:hint="eastAsia"/>
          <w:kern w:val="0"/>
          <w:lang w:val="en-US" w:eastAsia="zh-CN"/>
        </w:rPr>
        <w:t>2025</w:t>
      </w:r>
      <w:r>
        <w:rPr>
          <w:kern w:val="0"/>
        </w:rPr>
        <w:t>年</w:t>
      </w:r>
      <w:r>
        <w:rPr>
          <w:rFonts w:hint="eastAsia"/>
          <w:kern w:val="0"/>
          <w:lang w:val="en-US" w:eastAsia="zh-CN"/>
        </w:rPr>
        <w:t>1</w:t>
      </w:r>
      <w:r>
        <w:rPr>
          <w:kern w:val="0"/>
        </w:rPr>
        <w:t>月开始由</w:t>
      </w:r>
      <w:r>
        <w:rPr>
          <w:rFonts w:hint="eastAsia"/>
          <w:kern w:val="0"/>
          <w:lang w:val="en-US" w:eastAsia="zh-CN"/>
        </w:rPr>
        <w:t>乐清市农业农村局</w:t>
      </w:r>
      <w:r>
        <w:rPr>
          <w:kern w:val="0"/>
        </w:rPr>
        <w:t>进行必要性、可行性等内容的调研论证。</w:t>
      </w:r>
      <w:r>
        <w:rPr>
          <w:rFonts w:hint="eastAsia"/>
          <w:kern w:val="0"/>
          <w:lang w:val="en-US" w:eastAsia="zh-CN"/>
        </w:rPr>
        <w:t>2025</w:t>
      </w:r>
      <w:r>
        <w:rPr>
          <w:kern w:val="0"/>
        </w:rPr>
        <w:t>年</w:t>
      </w:r>
      <w:r>
        <w:rPr>
          <w:rFonts w:hint="eastAsia"/>
          <w:kern w:val="0"/>
          <w:lang w:val="en-US" w:eastAsia="zh-CN"/>
        </w:rPr>
        <w:t>7</w:t>
      </w:r>
      <w:r>
        <w:rPr>
          <w:kern w:val="0"/>
        </w:rPr>
        <w:t>月</w:t>
      </w:r>
      <w:r>
        <w:rPr>
          <w:rFonts w:hint="eastAsia"/>
          <w:kern w:val="0"/>
          <w:lang w:val="en-US" w:eastAsia="zh-CN"/>
        </w:rPr>
        <w:t>1</w:t>
      </w:r>
      <w:r>
        <w:rPr>
          <w:kern w:val="0"/>
        </w:rPr>
        <w:t>日</w:t>
      </w:r>
      <w:r>
        <w:rPr>
          <w:rFonts w:hint="eastAsia"/>
          <w:kern w:val="0"/>
          <w:lang w:val="en-US" w:eastAsia="zh-CN"/>
        </w:rPr>
        <w:t>至9日</w:t>
      </w:r>
      <w:r>
        <w:rPr>
          <w:kern w:val="0"/>
        </w:rPr>
        <w:t>在</w:t>
      </w:r>
      <w:r>
        <w:rPr>
          <w:rFonts w:hint="eastAsia"/>
          <w:kern w:val="0"/>
          <w:lang w:val="en-US" w:eastAsia="zh-CN"/>
        </w:rPr>
        <w:t>乐清市人民政府</w:t>
      </w:r>
      <w:r>
        <w:rPr>
          <w:kern w:val="0"/>
        </w:rPr>
        <w:t>网站公开征求意见，</w:t>
      </w:r>
      <w:r>
        <w:rPr>
          <w:rFonts w:hint="eastAsia"/>
          <w:kern w:val="0"/>
          <w:lang w:val="en-US" w:eastAsia="zh-CN"/>
        </w:rPr>
        <w:t>时间7个工作日</w:t>
      </w:r>
      <w:r>
        <w:rPr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四、文件主要内容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在全市范围对配备北斗定位的连作晚稻机插秧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补贴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推广水稻机插秧作业社会化服务，引导开展水稻机插秧作业的服务组织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按低于当地市场一定比例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的价格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向农户收取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减轻农户生产负担，有效提高全市水稻机插率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推动水稻产业高质量发展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7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实施范围。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u w:val="none"/>
          <w:lang w:val="en-US" w:eastAsia="zh-CN"/>
        </w:rPr>
        <w:t>满足以下条件的机插作业：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845" w:leftChars="0" w:hanging="425" w:firstLineChars="0"/>
        <w:jc w:val="both"/>
        <w:textAlignment w:val="auto"/>
        <w:outlineLvl w:val="1"/>
        <w:rPr>
          <w:rFonts w:hint="eastAsia" w:ascii="仿宋" w:hAnsi="仿宋" w:eastAsia="仿宋" w:cs="宋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乐清市范围内</w:t>
      </w:r>
      <w:r>
        <w:rPr>
          <w:rFonts w:hint="eastAsia" w:ascii="仿宋" w:hAnsi="仿宋" w:eastAsia="仿宋" w:cs="宋体"/>
          <w:color w:val="000000"/>
          <w:sz w:val="32"/>
          <w:szCs w:val="32"/>
          <w:u w:val="none"/>
          <w:lang w:eastAsia="zh-CN"/>
        </w:rPr>
        <w:t>连作</w:t>
      </w:r>
      <w:r>
        <w:rPr>
          <w:rFonts w:hint="eastAsia" w:ascii="仿宋" w:hAnsi="仿宋" w:eastAsia="仿宋" w:cs="宋体"/>
          <w:color w:val="000000"/>
          <w:sz w:val="32"/>
          <w:szCs w:val="32"/>
          <w:u w:val="none"/>
          <w:lang w:val="en-US" w:eastAsia="zh-CN"/>
        </w:rPr>
        <w:t>晚稻种植；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845" w:leftChars="0" w:hanging="425" w:firstLineChars="0"/>
        <w:jc w:val="both"/>
        <w:textAlignment w:val="auto"/>
        <w:outlineLvl w:val="1"/>
        <w:rPr>
          <w:rFonts w:hint="eastAsia" w:ascii="仿宋" w:hAnsi="仿宋" w:eastAsia="仿宋" w:cs="宋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u w:val="none"/>
          <w:lang w:val="en-US" w:eastAsia="zh-CN"/>
        </w:rPr>
        <w:t>采用高速自行式插秧机插秧；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845" w:leftChars="0" w:hanging="425" w:firstLineChars="0"/>
        <w:jc w:val="both"/>
        <w:textAlignment w:val="auto"/>
        <w:outlineLvl w:val="1"/>
        <w:rPr>
          <w:rFonts w:hint="eastAsia" w:ascii="仿宋" w:hAnsi="仿宋" w:eastAsia="仿宋" w:cs="宋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u w:val="none"/>
          <w:lang w:val="en-US" w:eastAsia="zh-CN"/>
        </w:rPr>
        <w:t>已经按照农业部的规定配备北斗设备，并能提供有效机插作业轨迹和面积；</w:t>
      </w:r>
    </w:p>
    <w:p>
      <w:pPr>
        <w:pStyle w:val="8"/>
        <w:numPr>
          <w:ilvl w:val="0"/>
          <w:numId w:val="2"/>
        </w:numPr>
        <w:ind w:left="845" w:leftChars="0" w:hanging="425" w:firstLineChars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/>
          <w:sz w:val="32"/>
          <w:szCs w:val="32"/>
          <w:u w:val="none"/>
          <w:lang w:val="en-US" w:eastAsia="zh-CN"/>
        </w:rPr>
        <w:t>作业面积在50亩以上（包含50亩）。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7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补贴对象。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自主机插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组织（农户）；为他人实施机插服务组织（农户）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7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补贴标准。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暂定机插补贴9元/亩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根据浙江省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2024 年水稻机插作业补贴试点工作的通知（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浙农专发〔2024〕1 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），北斗终端数据归集迭代升级等费用不超过8万元，机插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补贴预算不超过72万元，合计80万元。预测25年连作晚稻机插总面积8万亩，预计每亩补贴9元。实际机插补贴标准按照25年全市连作晚稻机插补贴总面积分摊。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五、文件施行日期及有效期说明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该文件的</w:t>
      </w:r>
      <w:r>
        <w:rPr>
          <w:rFonts w:hint="eastAsia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自发文</w:t>
      </w:r>
      <w:r>
        <w:rPr>
          <w:color w:val="000000"/>
          <w:kern w:val="0"/>
        </w:rPr>
        <w:t>后施行</w:t>
      </w:r>
      <w:r>
        <w:rPr>
          <w:rFonts w:hint="eastAsia"/>
          <w:color w:val="auto"/>
          <w:kern w:val="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有效期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至202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年12月31日</w:t>
      </w:r>
      <w:r>
        <w:rPr>
          <w:color w:val="000000"/>
          <w:kern w:val="0"/>
        </w:rPr>
        <w:t>。</w:t>
      </w: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A746C"/>
    <w:multiLevelType w:val="singleLevel"/>
    <w:tmpl w:val="935A746C"/>
    <w:lvl w:ilvl="0" w:tentative="0">
      <w:start w:val="1"/>
      <w:numFmt w:val="chineseCounting"/>
      <w:suff w:val="space"/>
      <w:lvlText w:val="（%1）"/>
      <w:lvlJc w:val="left"/>
      <w:pPr>
        <w:ind w:left="0" w:firstLine="567"/>
      </w:pPr>
      <w:rPr>
        <w:rFonts w:hint="eastAsia" w:ascii="楷体" w:hAnsi="楷体" w:eastAsia="楷体" w:cs="楷体"/>
        <w:b/>
        <w:bCs/>
      </w:rPr>
    </w:lvl>
  </w:abstractNum>
  <w:abstractNum w:abstractNumId="1">
    <w:nsid w:val="6EAD5B49"/>
    <w:multiLevelType w:val="singleLevel"/>
    <w:tmpl w:val="6EAD5B4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mM5NmQyZjBlOTgyYTA0NGUyN2JjY2FmMjE0NjEifQ=="/>
  </w:docVars>
  <w:rsids>
    <w:rsidRoot w:val="00F65496"/>
    <w:rsid w:val="00341B8D"/>
    <w:rsid w:val="00CA2AA7"/>
    <w:rsid w:val="00EA0B3A"/>
    <w:rsid w:val="00F65496"/>
    <w:rsid w:val="00FE3631"/>
    <w:rsid w:val="09436F2F"/>
    <w:rsid w:val="096F7D51"/>
    <w:rsid w:val="09983997"/>
    <w:rsid w:val="0B5F6DAE"/>
    <w:rsid w:val="0B6473E5"/>
    <w:rsid w:val="0E811E04"/>
    <w:rsid w:val="10DE0F0F"/>
    <w:rsid w:val="11410968"/>
    <w:rsid w:val="12065D1F"/>
    <w:rsid w:val="134830F9"/>
    <w:rsid w:val="145279E5"/>
    <w:rsid w:val="14797BC8"/>
    <w:rsid w:val="155132A5"/>
    <w:rsid w:val="16AE5760"/>
    <w:rsid w:val="1F26365B"/>
    <w:rsid w:val="1F6F0182"/>
    <w:rsid w:val="1FE0525A"/>
    <w:rsid w:val="22AE0EB4"/>
    <w:rsid w:val="25576D21"/>
    <w:rsid w:val="26FE003E"/>
    <w:rsid w:val="298505A2"/>
    <w:rsid w:val="2D9E2CB4"/>
    <w:rsid w:val="2E512E11"/>
    <w:rsid w:val="32E817E5"/>
    <w:rsid w:val="34106932"/>
    <w:rsid w:val="351E7FA3"/>
    <w:rsid w:val="35783994"/>
    <w:rsid w:val="379A310E"/>
    <w:rsid w:val="3CF4186F"/>
    <w:rsid w:val="3E633CB7"/>
    <w:rsid w:val="3F6A729D"/>
    <w:rsid w:val="4197548A"/>
    <w:rsid w:val="41CB517B"/>
    <w:rsid w:val="44551FB0"/>
    <w:rsid w:val="44A072F0"/>
    <w:rsid w:val="45ED792E"/>
    <w:rsid w:val="487E182D"/>
    <w:rsid w:val="48AB1807"/>
    <w:rsid w:val="49CE6DA9"/>
    <w:rsid w:val="4D7E01AA"/>
    <w:rsid w:val="50077B7B"/>
    <w:rsid w:val="523429E2"/>
    <w:rsid w:val="5521550C"/>
    <w:rsid w:val="566972CA"/>
    <w:rsid w:val="5BB95D06"/>
    <w:rsid w:val="5C91014C"/>
    <w:rsid w:val="5E6F14C4"/>
    <w:rsid w:val="5F08505C"/>
    <w:rsid w:val="5FA3332C"/>
    <w:rsid w:val="6190759B"/>
    <w:rsid w:val="621D30A3"/>
    <w:rsid w:val="6A935FD2"/>
    <w:rsid w:val="6C716598"/>
    <w:rsid w:val="6EC407F2"/>
    <w:rsid w:val="74CF3033"/>
    <w:rsid w:val="78401F63"/>
    <w:rsid w:val="7A003560"/>
    <w:rsid w:val="7E172C18"/>
    <w:rsid w:val="7F5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ind w:firstLine="200" w:firstLineChars="100"/>
    </w:pPr>
    <w:rPr>
      <w:rFonts w:ascii="Times New Roman" w:hAnsi="Times New Roman" w:eastAsia="宋体"/>
      <w:sz w:val="30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paragraph" w:styleId="7">
    <w:name w:val="Body Text First Indent"/>
    <w:basedOn w:val="2"/>
    <w:qFormat/>
    <w:uiPriority w:val="99"/>
    <w:pPr>
      <w:widowControl w:val="0"/>
      <w:adjustRightInd/>
      <w:snapToGrid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0"/>
      <w:lang w:val="zh-CN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885</Words>
  <Characters>937</Characters>
  <Lines>15</Lines>
  <Paragraphs>4</Paragraphs>
  <TotalTime>0</TotalTime>
  <ScaleCrop>false</ScaleCrop>
  <LinksUpToDate>false</LinksUpToDate>
  <CharactersWithSpaces>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2020-08-19T07:56:00Z</dcterms:created>
  <dc:creator>User</dc:creator>
  <cp:lastModifiedBy>cz～</cp:lastModifiedBy>
  <dcterms:modified xsi:type="dcterms:W3CDTF">2025-06-30T08:16:43Z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53F369F5BFC7478A9CD47F4F1B98B4DB_13</vt:lpwstr>
  </property>
  <property fmtid="{D5CDD505-2E9C-101B-9397-08002B2CF9AE}" pid="4" name="KSOTemplateDocerSaveRecord">
    <vt:lpwstr>eyJoZGlkIjoiOTllOTBlZTEwYTg5ZDNkYTkyZGE1MmIyZjViNTY5ZGUifQ==</vt:lpwstr>
  </property>
</Properties>
</file>