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《台州市城市轨道交通条例》行政处罚裁量基准起草说明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为进一步规范我市交通运输行政处罚自由裁量权的实施，按照《浙江省行政规范性文件管理办法》有关规定，我</w:t>
      </w:r>
      <w:r>
        <w:rPr>
          <w:rFonts w:hint="eastAsia" w:ascii="仿宋_GB2312" w:eastAsia="仿宋_GB2312"/>
          <w:sz w:val="28"/>
          <w:szCs w:val="28"/>
          <w:lang w:eastAsia="zh-CN"/>
        </w:rPr>
        <w:t>局</w:t>
      </w:r>
      <w:r>
        <w:rPr>
          <w:rFonts w:hint="eastAsia" w:ascii="仿宋_GB2312" w:eastAsia="仿宋_GB2312"/>
          <w:sz w:val="28"/>
          <w:szCs w:val="28"/>
        </w:rPr>
        <w:t>开展了《台州市城市轨道交通条例》行政处罚裁量权基准的起草工作。现将起草情况说明如下：</w:t>
      </w:r>
    </w:p>
    <w:p>
      <w:pPr>
        <w:ind w:firstLine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一、背景及必要性</w:t>
      </w:r>
    </w:p>
    <w:p>
      <w:pPr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为规范城市轨道交通</w:t>
      </w:r>
      <w:r>
        <w:rPr>
          <w:rFonts w:hint="eastAsia" w:ascii="仿宋_GB2312" w:eastAsia="仿宋_GB2312"/>
          <w:sz w:val="28"/>
          <w:szCs w:val="28"/>
          <w:lang w:eastAsia="zh-CN"/>
        </w:rPr>
        <w:t>规划、建设与运营一体化</w:t>
      </w:r>
      <w:r>
        <w:rPr>
          <w:rFonts w:hint="eastAsia" w:ascii="仿宋_GB2312" w:eastAsia="仿宋_GB2312"/>
          <w:sz w:val="28"/>
          <w:szCs w:val="28"/>
        </w:rPr>
        <w:t>管理，保障城市轨道交通运营安全，维护</w:t>
      </w:r>
      <w:r>
        <w:rPr>
          <w:rFonts w:hint="eastAsia" w:ascii="仿宋_GB2312" w:eastAsia="仿宋_GB2312"/>
          <w:sz w:val="28"/>
          <w:szCs w:val="28"/>
          <w:lang w:eastAsia="zh-CN"/>
        </w:rPr>
        <w:t>各方</w:t>
      </w:r>
      <w:r>
        <w:rPr>
          <w:rFonts w:hint="eastAsia" w:ascii="仿宋_GB2312" w:eastAsia="仿宋_GB2312"/>
          <w:sz w:val="28"/>
          <w:szCs w:val="28"/>
        </w:rPr>
        <w:t>的合法权益，根据有关法律法规，我市制定了《台州市城市轨道交通条例》。《</w:t>
      </w:r>
      <w:r>
        <w:rPr>
          <w:rFonts w:hint="eastAsia" w:ascii="仿宋_GB2312" w:eastAsia="仿宋_GB2312"/>
          <w:sz w:val="28"/>
          <w:szCs w:val="28"/>
          <w:lang w:eastAsia="zh-CN"/>
        </w:rPr>
        <w:t>条例</w:t>
      </w:r>
      <w:r>
        <w:rPr>
          <w:rFonts w:hint="eastAsia" w:ascii="仿宋_GB2312" w:eastAsia="仿宋_GB2312"/>
          <w:sz w:val="28"/>
          <w:szCs w:val="28"/>
        </w:rPr>
        <w:t>》是我市第一部规范城市轨道交通管理的地方性规章，对相关部门职责、</w:t>
      </w:r>
      <w:r>
        <w:rPr>
          <w:rFonts w:hint="eastAsia" w:ascii="仿宋_GB2312" w:eastAsia="仿宋_GB2312"/>
          <w:sz w:val="28"/>
          <w:szCs w:val="28"/>
          <w:lang w:eastAsia="zh-CN"/>
        </w:rPr>
        <w:t>规划与建设、安全保护区</w:t>
      </w:r>
      <w:r>
        <w:rPr>
          <w:rFonts w:hint="eastAsia" w:ascii="仿宋_GB2312" w:eastAsia="仿宋_GB2312"/>
          <w:sz w:val="28"/>
          <w:szCs w:val="28"/>
        </w:rPr>
        <w:t>管理、运营服务管理、</w:t>
      </w:r>
      <w:r>
        <w:rPr>
          <w:rFonts w:hint="eastAsia" w:ascii="仿宋_GB2312" w:eastAsia="仿宋_GB2312"/>
          <w:sz w:val="28"/>
          <w:szCs w:val="28"/>
          <w:lang w:eastAsia="zh-CN"/>
        </w:rPr>
        <w:t>安全</w:t>
      </w:r>
      <w:r>
        <w:rPr>
          <w:rFonts w:hint="eastAsia" w:ascii="仿宋_GB2312" w:eastAsia="仿宋_GB2312"/>
          <w:sz w:val="28"/>
          <w:szCs w:val="28"/>
        </w:rPr>
        <w:t>管理、</w:t>
      </w:r>
      <w:r>
        <w:rPr>
          <w:rFonts w:hint="eastAsia" w:ascii="仿宋_GB2312" w:eastAsia="仿宋_GB2312"/>
          <w:sz w:val="28"/>
          <w:szCs w:val="28"/>
          <w:lang w:eastAsia="zh-CN"/>
        </w:rPr>
        <w:t>法律责任</w:t>
      </w:r>
      <w:r>
        <w:rPr>
          <w:rFonts w:hint="eastAsia" w:ascii="仿宋_GB2312" w:eastAsia="仿宋_GB2312"/>
          <w:sz w:val="28"/>
          <w:szCs w:val="28"/>
        </w:rPr>
        <w:t>等事项作了明确规定，为我市城市轨道交通</w:t>
      </w:r>
      <w:r>
        <w:rPr>
          <w:rFonts w:hint="eastAsia" w:ascii="仿宋_GB2312" w:eastAsia="仿宋_GB2312"/>
          <w:sz w:val="28"/>
          <w:szCs w:val="28"/>
          <w:lang w:eastAsia="zh-CN"/>
        </w:rPr>
        <w:t>管理</w:t>
      </w:r>
      <w:r>
        <w:rPr>
          <w:rFonts w:hint="eastAsia" w:ascii="仿宋_GB2312" w:eastAsia="仿宋_GB2312"/>
          <w:sz w:val="28"/>
          <w:szCs w:val="28"/>
        </w:rPr>
        <w:t>提供了有力的法律依据。为有效实施《</w:t>
      </w:r>
      <w:r>
        <w:rPr>
          <w:rFonts w:hint="eastAsia" w:ascii="仿宋_GB2312" w:eastAsia="仿宋_GB2312"/>
          <w:sz w:val="28"/>
          <w:szCs w:val="28"/>
          <w:lang w:eastAsia="zh-CN"/>
        </w:rPr>
        <w:t>条例</w:t>
      </w:r>
      <w:r>
        <w:rPr>
          <w:rFonts w:hint="eastAsia" w:ascii="仿宋_GB2312" w:eastAsia="仿宋_GB2312"/>
          <w:sz w:val="28"/>
          <w:szCs w:val="28"/>
        </w:rPr>
        <w:t>》，规范执法人员行使行政处罚裁量权，结合台州轨道交通执法实际，特制定本裁量基准。</w:t>
      </w:r>
    </w:p>
    <w:p>
      <w:pPr>
        <w:ind w:firstLine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二、制定具体情况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《台州市城市轨道交通条例裁量基准（征求意见稿）》共有</w:t>
      </w:r>
      <w:r>
        <w:rPr>
          <w:rFonts w:hint="eastAsia" w:ascii="仿宋_GB2312" w:eastAsia="仿宋_GB2312"/>
          <w:sz w:val="28"/>
          <w:szCs w:val="28"/>
          <w:lang w:eastAsia="zh-CN"/>
        </w:rPr>
        <w:t>违法事项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项</w:t>
      </w:r>
      <w:r>
        <w:rPr>
          <w:rFonts w:hint="eastAsia" w:ascii="仿宋_GB2312" w:eastAsia="仿宋_GB2312"/>
          <w:sz w:val="28"/>
          <w:szCs w:val="28"/>
          <w:lang w:eastAsia="zh-CN"/>
        </w:rPr>
        <w:t>，涉及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8类</w:t>
      </w:r>
      <w:r>
        <w:rPr>
          <w:rFonts w:hint="eastAsia" w:ascii="仿宋_GB2312" w:eastAsia="仿宋_GB2312"/>
          <w:sz w:val="28"/>
          <w:szCs w:val="28"/>
          <w:lang w:eastAsia="zh-CN"/>
        </w:rPr>
        <w:t>具体违法行为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根据情节的轻重，分别在每个档次里列明了具体情况和处罚额度，使裁量基准更具可操作性。</w:t>
      </w:r>
    </w:p>
    <w:p>
      <w:pPr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三、拟解决的主要问题及征求意见情况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过制定完善行政处罚自由裁量权基准，综合考虑个案违法行为的事实、性质、情节、社会危害程度等，选择适用的处罚种类和法律依据，确定适当的处罚幅度行使行政处罚权。对违法行为调查取证时，要同时收集与确定违法程度和不予、减轻、从轻、一般、从重等量罚情节有关的证据。在告知行政相对人陈述申辩或者听证权前，要掌握确定违法程度和量罚情节的证据，按照行政处罚裁量基准告知拟给予的处罚内容。</w:t>
      </w: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555"/>
        <w:rPr>
          <w:rFonts w:ascii="仿宋_GB2312" w:eastAsia="仿宋_GB2312"/>
          <w:sz w:val="28"/>
          <w:szCs w:val="28"/>
        </w:rPr>
      </w:pPr>
    </w:p>
    <w:p>
      <w:pPr>
        <w:ind w:firstLine="3911" w:firstLineChars="1397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台州市交通运输</w:t>
      </w:r>
      <w:r>
        <w:rPr>
          <w:rFonts w:hint="eastAsia" w:ascii="仿宋_GB2312" w:eastAsia="仿宋_GB2312"/>
          <w:sz w:val="28"/>
          <w:szCs w:val="28"/>
          <w:lang w:eastAsia="zh-CN"/>
        </w:rPr>
        <w:t>局</w:t>
      </w:r>
    </w:p>
    <w:p>
      <w:pPr>
        <w:ind w:firstLine="3911" w:firstLineChars="139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2025年2月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42"/>
    <w:rsid w:val="000271CB"/>
    <w:rsid w:val="000A40B5"/>
    <w:rsid w:val="00121AB9"/>
    <w:rsid w:val="001D2D17"/>
    <w:rsid w:val="00326915"/>
    <w:rsid w:val="003C0BA3"/>
    <w:rsid w:val="003D3CC9"/>
    <w:rsid w:val="003E1E85"/>
    <w:rsid w:val="00573740"/>
    <w:rsid w:val="00586D85"/>
    <w:rsid w:val="006423E4"/>
    <w:rsid w:val="006F42AD"/>
    <w:rsid w:val="007A0CA2"/>
    <w:rsid w:val="007C3988"/>
    <w:rsid w:val="00827742"/>
    <w:rsid w:val="00940F3C"/>
    <w:rsid w:val="009622B2"/>
    <w:rsid w:val="00AC55A9"/>
    <w:rsid w:val="00AF0942"/>
    <w:rsid w:val="00C75232"/>
    <w:rsid w:val="00CE0C91"/>
    <w:rsid w:val="00D25C55"/>
    <w:rsid w:val="00E91F10"/>
    <w:rsid w:val="3FDBF566"/>
    <w:rsid w:val="4DFCC5AE"/>
    <w:rsid w:val="5F3F2355"/>
    <w:rsid w:val="67AF4B58"/>
    <w:rsid w:val="6FFEA30E"/>
    <w:rsid w:val="7D5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2021-01-16T16:59:00Z</dcterms:created>
  <dc:creator>杨静</dc:creator>
  <cp:lastModifiedBy>K</cp:lastModifiedBy>
  <dcterms:modified xsi:type="dcterms:W3CDTF">2025-02-25T15:18:22Z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FC329FC8E554E8663420466412D9C696</vt:lpwstr>
  </property>
</Properties>
</file>