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附件2</w:t>
      </w:r>
    </w:p>
    <w:p>
      <w:pPr>
        <w:keepNext w:val="0"/>
        <w:keepLines w:val="0"/>
        <w:pageBreakBefore w:val="0"/>
        <w:widowControl w:val="0"/>
        <w:kinsoku/>
        <w:wordWrap/>
        <w:overflowPunct/>
        <w:topLinePunct w:val="0"/>
        <w:autoSpaceDE/>
        <w:autoSpaceDN/>
        <w:bidi w:val="0"/>
        <w:adjustRightInd/>
        <w:snapToGrid/>
        <w:spacing w:after="157" w:afterLines="50" w:line="560" w:lineRule="exact"/>
        <w:ind w:right="0" w:rightChars="0"/>
        <w:jc w:val="center"/>
        <w:textAlignment w:val="auto"/>
        <w:outlineLvl w:val="9"/>
        <w:rPr>
          <w:rFonts w:hint="default" w:ascii="Times New Roman" w:hAnsi="Times New Roman" w:eastAsia="黑体" w:cs="Times New Roman"/>
          <w:sz w:val="44"/>
          <w:szCs w:val="44"/>
          <w:highlight w:val="none"/>
          <w:lang w:val="en-US" w:eastAsia="zh-CN"/>
        </w:rPr>
      </w:pPr>
      <w:r>
        <w:rPr>
          <w:rFonts w:hint="default" w:ascii="Times New Roman" w:hAnsi="Times New Roman" w:eastAsia="黑体" w:cs="Times New Roman"/>
          <w:sz w:val="44"/>
          <w:szCs w:val="44"/>
          <w:highlight w:val="none"/>
          <w:lang w:val="en-US" w:eastAsia="zh-CN"/>
        </w:rPr>
        <w:t>重点装备产品供应清单</w:t>
      </w:r>
    </w:p>
    <w:tbl>
      <w:tblPr>
        <w:tblStyle w:val="7"/>
        <w:tblW w:w="50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51" w:type="dxa"/>
          <w:bottom w:w="0" w:type="dxa"/>
          <w:right w:w="51" w:type="dxa"/>
        </w:tblCellMar>
      </w:tblPr>
      <w:tblGrid>
        <w:gridCol w:w="476"/>
        <w:gridCol w:w="1031"/>
        <w:gridCol w:w="2119"/>
        <w:gridCol w:w="5709"/>
        <w:gridCol w:w="2108"/>
        <w:gridCol w:w="987"/>
        <w:gridCol w:w="1018"/>
        <w:gridCol w:w="1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51" w:type="dxa"/>
            <w:bottom w:w="0" w:type="dxa"/>
            <w:right w:w="51" w:type="dxa"/>
          </w:tblCellMar>
        </w:tblPrEx>
        <w:trPr>
          <w:cantSplit/>
          <w:trHeight w:val="454" w:hRule="atLeast"/>
          <w:tblHeader/>
          <w:jc w:val="center"/>
        </w:trPr>
        <w:tc>
          <w:tcPr>
            <w:tcW w:w="15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序号</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产品类别</w:t>
            </w:r>
          </w:p>
        </w:tc>
        <w:tc>
          <w:tcPr>
            <w:tcW w:w="70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企业名称</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公司简介</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主要产品</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地址</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联系人</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黑体" w:cs="Times New Roman"/>
                <w:b w:val="0"/>
                <w:bCs w:val="0"/>
                <w:i w:val="0"/>
                <w:iCs w:val="0"/>
                <w:color w:val="000000"/>
                <w:sz w:val="24"/>
                <w:szCs w:val="24"/>
                <w:u w:val="none"/>
              </w:rPr>
            </w:pPr>
            <w:r>
              <w:rPr>
                <w:rFonts w:hint="default" w:ascii="Times New Roman" w:hAnsi="Times New Roman" w:eastAsia="黑体" w:cs="Times New Roman"/>
                <w:b w:val="0"/>
                <w:bCs w:val="0"/>
                <w:i w:val="0"/>
                <w:iCs w:val="0"/>
                <w:color w:val="000000"/>
                <w:kern w:val="0"/>
                <w:sz w:val="24"/>
                <w:szCs w:val="24"/>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吉利长兴自动变速器有限公司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lang w:val="en-US" w:eastAsia="zh-CN"/>
              </w:rPr>
            </w:pPr>
            <w:r>
              <w:rPr>
                <w:rFonts w:hint="default" w:ascii="Times New Roman" w:hAnsi="Times New Roman" w:eastAsia="仿宋_GB2312" w:cs="Times New Roman"/>
                <w:i w:val="0"/>
                <w:iCs w:val="0"/>
                <w:color w:val="000000"/>
                <w:kern w:val="0"/>
                <w:sz w:val="24"/>
                <w:szCs w:val="24"/>
                <w:u w:val="none"/>
                <w:lang w:val="en-US" w:eastAsia="zh-CN" w:bidi="ar"/>
              </w:rPr>
              <w:t>公司生产的全新一代7DCT双离合自动变速器是吉利控股集团旗下核心战略产品，拥有完全自主知识产权。公司拥有发明专利9项，获得湖州市实干争先“贡献者”称号、外贸十强企业、对外贸易先进企业。</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7DCT双离合变速器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华伟锋</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18268220888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浙江豪斯特汽车零部件有限公司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主要从事热冲压模具设计制造、热成形零件试制及批量生产、热成形总成焊接、电池包壳体新材料研发和生产制造等。公司现为吉利、极氪、理想、比亚迪、长城、北汽、小鹏、哪吒、零跑、合创等二十多家知名新能源车企的一级供应商。</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汽车领域热冲压模具、热成形总成</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吴建锋</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15336950950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均胜汽车安全系统（湖州）有限公司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公司是一家生产和设计汽车安全气囊、座椅安全带、方向盘和汽车全方位安全集成系统的领军企业。产品被广泛运用于欧洲、亚洲和北美的汽车生产厂商所生产的300多种汽车款式上。</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汽车安全气囊气体发生器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长兴县和平镇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严俊</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15900751212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化药(湖州)安全器材有限公司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公司主要生产汽车安全气囊用气体发生器和安全带收紧器用气体发生器，产品销往全球各地知名汽车厂家。</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汽车安全气囊气体发生器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长兴县和平镇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蒋涛</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13738235802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5</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湖州拓普汽车部件有限公司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公司总部位于宁波北仑，是在上海证券交易所上市的一家技术领先的汽车零部件企业，主要致力于生产新能源汽车轻量化底盘系统和NVH内饰功能件，为蔚来、吉利等车企配套服务。</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汽车顶棚、汽车内饰板</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许鹏</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15925608893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6</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特科拉（长兴）橡塑科技有限公司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公司是一家专业生产汽车发动机制冷系统、空调系统、制动系统、抗震系统和雨刮器中的橡塑部件的土耳其独资企业，目前已为上海大众、一汽大众、FAW、沃尔沃、菲亚特等多个整车厂配套。</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汽车塑料部件、金属部件、雨刮器、流体循环系统、模具</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周建杰</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18657231803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75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7</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浙江威泰汽配有限公司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面向全球提供汽车滤清器产品及解决方案，自主研发超声波接纸、红外线热板焊接等核心技术，处国内领先水平。公司已获国家专利65项，制定滤清器相关标准40项，建有省级企业研究院等平台，荣获专精特新“小巨人”企业、国家知识产权优势企业等荣誉。</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高性能柴油滤清器滤芯、混合动力润滑油滤清器滤芯、新能源滤清器滤芯</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韩慧</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15957250558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13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8</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浙江爱卫蓝新能源科技有限公司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公司是一家集研发、生产、销售和服务于一体的新能源车用电动压缩机专业厂商，目前长兴生产基地规划电动压缩机年产能300万台。</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汽车用涡旋式压缩机</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王力俊</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13621779901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83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9</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浙江精新汽车零部件有限公司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设计、制造、销售为一体，专注于生产汽车空调铝制换热器，包含蒸发器、冷凝器、暖风、水箱等产品的企业。公司目前已成为一汽解放、中国重汽、比亚迪、长城、吉利、江淮、蔚来等多个国内主流汽车厂的T2供应商。</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汽车蒸发器、冷凝器、暖风芯、中冷器等各类热交换器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董思嘉</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13002618000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209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浙江凯迪汽车部件工业有限公司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的汽车等速万向节和传动轴及二，三代轮毂轴承单元的生产商，可生产的球笼型号超过2000多种，传动轴的型号超过1500种，二，三代轮毂轴承单元型号超过300个。目前产品广泛应用于奔驰、宝马、通用、克莱斯勒、福特、大众、奥迪、沃尔沃、本田、丰田、现代、三菱，马自达等几十种轿车类型。</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汽车总成、轮毂单元</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徐建花</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15268224955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47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11</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浙江达峰汽车技术有限公司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公司是一家专业从事机动车尾气排放控制技术研发、产品生产、销售的科技型企业，是国家863计划对于经济型汽油车低污染排放控制技术进行成果转化的生产基地。</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汽车三元催化净化器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王伟</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13059953235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12</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浙江奇碟汽车零部件有限公司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汽车干摩擦式离合器总成研发、设计和制造为一体的高新技术企业，主要为中国重汽、日本五十铃等主机厂配套。公司为中国汽车工业协会离合器分会理事单位，参与起草离合器2项行业标准、4项行业团标标准，拥有省级研究开发中心、省级企业研究院，主持完成省“尖兵”1项、省级科技新产品12项。</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离合器总成、万向节总成</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朱幼明</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15857172657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汽车零部件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浙江人人集团有限公司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主要经营注塑、冲压加工及点烟器、线束类、电子类汽车产品，与北京戴姆勒、丰田汽车、本田汽车、车和家（理想汽车）、南京依维柯、江铃FORD、上汽集团、北汽集团等知名企业合作，拥有4项国家发明专利。</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点烟器、线束类、电子类汽车产品</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李杰</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13356060222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14</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数控机床</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浙江创世纪机械有限公司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以积极打造集高端智能装备的研发、生产、销售、服务于一体的“智能+绿色工厂”，全套采用国内外先进的自动化生产精密设备及辅助设备，为客户提供优质装备及智能化整体解决方案，是国内同类企业中技术宽度最广、产品宽度最全的企业之一。</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t>钻铣加工中心</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何丹萍</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18768375528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数控机床</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黄鹄（浙江）精密机床公司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公司是一家集机床设计研发、生产、销售和工业服务为一体的技术创新企业，致力于做好高端工业母机，实现国产替代进口。产品广泛应用于半导体、航空、航天、能源动力、大型医疗设备等行业</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lang w:val="en-US" w:eastAsia="zh-CN" w:bidi="ar"/>
              </w:rPr>
              <w:drawing>
                <wp:anchor distT="0" distB="0" distL="114300" distR="114300" simplePos="0" relativeHeight="251660288" behindDoc="0" locked="0" layoutInCell="1" allowOverlap="1">
                  <wp:simplePos x="0" y="0"/>
                  <wp:positionH relativeFrom="column">
                    <wp:posOffset>1871345</wp:posOffset>
                  </wp:positionH>
                  <wp:positionV relativeFrom="paragraph">
                    <wp:posOffset>0</wp:posOffset>
                  </wp:positionV>
                  <wp:extent cx="310515" cy="284480"/>
                  <wp:effectExtent l="0" t="0" r="0" b="0"/>
                  <wp:wrapNone/>
                  <wp:docPr id="51" name="文本框_7"/>
                  <wp:cNvGraphicFramePr/>
                  <a:graphic xmlns:a="http://schemas.openxmlformats.org/drawingml/2006/main">
                    <a:graphicData uri="http://schemas.openxmlformats.org/drawingml/2006/picture">
                      <pic:pic xmlns:pic="http://schemas.openxmlformats.org/drawingml/2006/picture">
                        <pic:nvPicPr>
                          <pic:cNvPr id="51" name="文本框_7"/>
                          <pic:cNvPicPr/>
                        </pic:nvPicPr>
                        <pic:blipFill>
                          <a:blip r:embed="rId5"/>
                          <a:stretch>
                            <a:fillRect/>
                          </a:stretch>
                        </pic:blipFill>
                        <pic:spPr>
                          <a:xfrm>
                            <a:off x="0" y="0"/>
                            <a:ext cx="310515" cy="28448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drawing>
                <wp:anchor distT="0" distB="0" distL="114300" distR="114300" simplePos="0" relativeHeight="251660288" behindDoc="0" locked="0" layoutInCell="1" allowOverlap="1">
                  <wp:simplePos x="0" y="0"/>
                  <wp:positionH relativeFrom="column">
                    <wp:posOffset>1871345</wp:posOffset>
                  </wp:positionH>
                  <wp:positionV relativeFrom="paragraph">
                    <wp:posOffset>0</wp:posOffset>
                  </wp:positionV>
                  <wp:extent cx="310515" cy="284480"/>
                  <wp:effectExtent l="0" t="0" r="0" b="0"/>
                  <wp:wrapNone/>
                  <wp:docPr id="38" name="文本框_6"/>
                  <wp:cNvGraphicFramePr/>
                  <a:graphic xmlns:a="http://schemas.openxmlformats.org/drawingml/2006/main">
                    <a:graphicData uri="http://schemas.openxmlformats.org/drawingml/2006/picture">
                      <pic:pic xmlns:pic="http://schemas.openxmlformats.org/drawingml/2006/picture">
                        <pic:nvPicPr>
                          <pic:cNvPr id="38" name="文本框_6"/>
                          <pic:cNvPicPr/>
                        </pic:nvPicPr>
                        <pic:blipFill>
                          <a:blip r:embed="rId6"/>
                          <a:stretch>
                            <a:fillRect/>
                          </a:stretch>
                        </pic:blipFill>
                        <pic:spPr>
                          <a:xfrm>
                            <a:off x="0" y="0"/>
                            <a:ext cx="310515" cy="28448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t>五轴加工中心</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王玲</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18358331654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16</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数控机床</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松德刀具（长兴）科技有限公司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的精密数控刀具研发、制造和销售的国家专精特新“小巨人”企业，制订了国家行业标准及两项浙江制造“品字标”团体标准，拥有30多项专利。目前，客户遍布兵器、航空、航天、船舶、汽车、能源等行业。</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精密镗刀、铣刀、整体硬质合金刀具、减震刀杆刀柄</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赵晓强</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13809142048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17</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数控机床</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浙江傅氏机械科技有限公司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公司是一家集研发、制造、销售、技术服务为一体的各类零部件制造、加工型企业，致力于相关机器人自动化产品及各类零部件的铸造与加工。</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数控机床、五轴加工中心、龙门加工中心</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长兴县林城镇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敖宸宸</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15657276688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数控机床</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舒能智能装备（长兴）有限公司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公司是一家集数控机床及自动化控制设计、研发、制造和销售于一体的创新型企业。公司自行研制开发的产品广泛应用于汽车配件、五金制造、气动配件、手机配件、航空配件等行业。</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数控机床</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长兴县林城镇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桂升军</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18658367070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19</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浙江亿帆自动化设备有限公司</w:t>
            </w:r>
          </w:p>
        </w:tc>
        <w:tc>
          <w:tcPr>
            <w:tcW w:w="190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公司是一家从事数控机床制造、数控机床销售、机械设备租赁等业务的企业，引进一系列先进的精密数控加工、铸造、铸铝、热处理等设备，致力于在机械加工领域为客户提供高效率及高质量的服务。</w:t>
            </w:r>
          </w:p>
        </w:tc>
        <w:tc>
          <w:tcPr>
            <w:tcW w:w="7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台面总成、针筒总成、缝头总成</w:t>
            </w:r>
          </w:p>
        </w:tc>
        <w:tc>
          <w:tcPr>
            <w:tcW w:w="3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34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宋玲娟</w:t>
            </w:r>
          </w:p>
        </w:tc>
        <w:tc>
          <w:tcPr>
            <w:tcW w:w="50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15268223758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工业机器人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浙江金麦特自动化系统有限公司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专注在线控底盘、三电系统、白车身焊装及智能驾驶等领域，是一家具备全球化设备交付服务能力的智能制造整体解决方案及数字化智能装备提供商。荣获国家知识产权优势企业、省专精特新中小企业等荣誉，拥有省企业研究院等平台</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线性制动成套装备生产线</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李琦</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13757221678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21</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工业机器人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浙江海悦自动化机械股份有限公司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公司专注于非标自动化设备的研发，是国内综合实力领先的自动化、智能化装备流水线供应商，</w:t>
            </w:r>
            <w:r>
              <w:rPr>
                <w:rStyle w:val="10"/>
                <w:rFonts w:hint="default" w:ascii="Times New Roman" w:hAnsi="Times New Roman" w:eastAsia="仿宋_GB2312" w:cs="Times New Roman"/>
                <w:sz w:val="24"/>
                <w:szCs w:val="24"/>
                <w:lang w:val="en-US" w:eastAsia="zh-CN" w:bidi="ar"/>
              </w:rPr>
              <w:t>拥有国内先进铅酸蓄电池生产流水线的研发、制造基地。目前已获得专利300余件，省级重大专项1项，省级首台套2项，并承担国家级火炬计划1项。</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铅酸蓄电池自动化成套设备、小密机器人铸焊线</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张新江</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13017900352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22</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工业机器人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项淮智能科技（长兴）有限公司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致力于打造高端工业机器人、高端柔版印刷机等智能制造产品，未来几年，公司柔版印刷机产品线、工业专用机器人产品线、工业软件平台产品线、公司高端控制系统产品线等将加速发展。公司荣获湖州市创新创业大赛一等奖、南太湖精英计划A类。</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高速柔版印刷机及控制系统、非标定制设备及自动化线</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钱莉敏</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15857231865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23</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工业机器人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浙江共生智能科技有限公司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业内领先的工业自动化、信息化智能制造整体解决方案提供商，专注于汽车玻璃、太阳能玻璃、产业玻璃、家电玻璃及建筑玻璃自动化生产线的规划、设计和制造，为本土和国际客户提供优质完善的玻璃深加工自动化解决方案。</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汽车玻璃连线设备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沈自红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15868268183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24</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工业机器人</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浙江荣力智能装备有限公司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非标自动化、智能化设备的研发、生产、销售为一体的高新技术企业，产品主要运用于耐火行业标砖产品的制成、物流搬运、进出窑、打包等工段，同时也是中国蓄电池行业大型的成套设备专业制造商，产品销售已遍布国内外。</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蓄电池、耐材企业的自动化、智能化生产线</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朱丹婷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15868237806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25</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浙江中德自控科技股份有限公司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集研发、生产、销售、服务于一体的专业控制阀供应商，产品处在国内切断阀领域的领先地位，是中石化、中石油、中海油等的一级供应商。企业拥有省级研发中心、企业技术中心、企业研究院、博士后工作站等科研创新平台，荣获专精特新“小巨人”企业，在国内控制阀领域成立了“中德阀门研究院”。</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阀门、执行器、仪器仪表、工业自动化控制系统成套设备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李红星</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15067228288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26</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浙江丰帆数控机械有限公司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纺织行业高端自动化机械设备研发与制造的国家专精特新“小巨人”企业，拥有发明专利21项，参与起草行业标准4项，近三年开发省级新产品45项，同时还拥省企业研发中心、省企业技术中心、省企业研究院、省博士后工作站等平台。</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全电脑针织横机、鞋面机、手套机、一线成衣机</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李孝春</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13511269019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27</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湖州冠炯机电科技有限公司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电脑绣花机特种绣装置研发、制造、销售的国家专精特新“小巨人”企业，现具有特种绣装置最完善的产品系列，已远销欧洲、美洲、印度、韩国等国外地区。拥有省企业研发中心、省企业研究院等平台。</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53" name="文本框_36"/>
                  <wp:cNvGraphicFramePr/>
                  <a:graphic xmlns:a="http://schemas.openxmlformats.org/drawingml/2006/main">
                    <a:graphicData uri="http://schemas.openxmlformats.org/drawingml/2006/picture">
                      <pic:pic xmlns:pic="http://schemas.openxmlformats.org/drawingml/2006/picture">
                        <pic:nvPicPr>
                          <pic:cNvPr id="53" name="文本框_36"/>
                          <pic:cNvPicPr/>
                        </pic:nvPicPr>
                        <pic:blipFill>
                          <a:blip r:embed="rId7"/>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54" name="文本框_37"/>
                  <wp:cNvGraphicFramePr/>
                  <a:graphic xmlns:a="http://schemas.openxmlformats.org/drawingml/2006/main">
                    <a:graphicData uri="http://schemas.openxmlformats.org/drawingml/2006/picture">
                      <pic:pic xmlns:pic="http://schemas.openxmlformats.org/drawingml/2006/picture">
                        <pic:nvPicPr>
                          <pic:cNvPr id="54" name="文本框_37"/>
                          <pic:cNvPicPr/>
                        </pic:nvPicPr>
                        <pic:blipFill>
                          <a:blip r:embed="rId8"/>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t>电脑绣花机多金片绣装置</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长兴县泗安镇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吴虹波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18858558226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45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28</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长恩精机(长兴)有限公司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公司是一家致力于汽车、家电、电力等行业提供自动化生产系统及全面维护服务的非标自动化高新技术企业。公司致力于全自动无屑切管倒角机、多工位转盘类加工专机的生产。</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全自动无屑切管倒角机、全自动激光切管机、智能多工位数控管件生产线</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田飞</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13918061068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755"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29</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浙江其承自动化设备有限公司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公司是一家集研发、生产、加工、装配、售后为一体的精密模具及自动化设备生产企业。公司产品覆盖汽车空调、航空航天、机械工业、新能源等多个领域。</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制造模具、翅片机上的接料机、各种型号设备上的轧辗刀具、刀架配制产品装配台、组装机</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许柏路</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13818753228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495"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浙江数郜智能设备有限公司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公司总部位于上海，致力于乳制品、酱料、饮料、宠物食品及香精行业的交钥匙工程及解决方案，提供前处理设备、模块预制组装、现场设备安装、电气安装及现场调试直到设备进入商业运行。</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乳品饮料、预包装食品、宠物食品及生物制药领域的生产专用设备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王振良</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13764108505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206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31</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浙江长兴和良智能装备有限公司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设计、生产销售和技术服务为一体的国家专精特新“小巨人”企业，服务于家电、汽车、航空、器械等行业的管材成形装备领域，是美的、格力、海尔、三菱重工、康迪泰克等的优势供应商，拥有省博士后工作站和省企业研发中心等平台、发明专利50项。</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数控弯管机、管端成型机、旋压机、多工序集成一体机,自动生产线、机器人产线集成</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张良</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18888946061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1710"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32</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自动化成套设备</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浙江大豪明德智控设备有限公司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国内外机电控系统的龙头企业，市场占有率90%以上。终端客户有浪莎股份、梦娜袜业、华孚时尚、健盛集团等上市公司，拥有发明专利10项，参与制定全电脑袜机国家行业标准，荣获省专精特新中小企业等荣誉。</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全自动袜机控制系统</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孙永炎</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13758244530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33</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工程机械</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浙矿重工股份有限公司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国内砂石装备行业第一家上市公司，是集绿色、智能装备的开发、生产、销售、运营和售后服务为一体的综合性企业。公司拥有省研发中心、省博士后工作站和院士专家工作站等平台，先后承担了国家科技型中小企业技术创新基金项目、国家火炬计划项目、省重大科技专项等实施工作。</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型矿山机械设备、资源再生处置利用设备</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长兴县和平镇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蔡菊兰</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18357283800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34</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工程机械</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浙江恒星传动科技有限公司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致力于研发生产高精度蜗轮减速机、减速机和RV专用减速器、太阳能回转减速机等产品的国家专精特新“小巨人”企业。产品主要应用于工程机械、陶瓷机械、仓储设备、食品机械及环境保护等领域。产品已进入美国艾默公司、英国罗托克公司等国际知名企业的采购体系，出口额连续多年保持国内同行第一。</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FR系列齿轮减速机、立式回转减速机、FD-V系列回转减速机、NFCN系列减速机</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楼红良</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0571-82601111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35</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智能仓储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诺力智能装备股份有限公司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主营业务包括物料搬运设备、智能立体仓库、智能输送分拣系统、无人搬运机器人AGV及系统、供应链综合系统软件、智能物流整体解决方案服务等。物料搬运设备细分产品连续17年全球销量第一。建有国家级企业技术中心、国家级工业设计中心、国家级博士后工作站等平台，荣获制造业单项冠军、国家技术创新示范企业、国家绿色供应链管理示范企业等荣誉</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物料搬运设备、智能立体仓库、智能输送分拣系统、无人搬运机器人AGV及系统、供应链综合系统软件</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周晓静</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13567233025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36</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智能仓储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浙江加力仓储设备股份有限公司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集研发、生产、销售于一体的仓储物流搬运设备制造企业，是国家高新技术企业和国内首家电动仓储车辆新三板挂牌企业，先后荣获省专精特新企业、省隐形冠军企业、省企业技术中心、国家级绿色工厂等荣誉。产品畅销30多个国家和地区，与安徽合力股份、上海龙工集团、天能集团、天宏锂电等知名企业有合作关系。</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电动搬运车、电动堆垛车、前移式叉车、平衡重式叉车、AGV智能导引车、高空作业平台</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长兴县虹星桥镇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施彬华</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13506726411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37</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智能仓储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浙江匠心液压科技有限公司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公司一家是专业从事液压油缸、液压泵站、高压油管等产品的研发、设计、制造和销售的国家级高新技术企业及专精特新企业。2022年电动步行式仓储叉车油缸产品销量稳居全国行业第一。</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液压油缸、液压泵站、高压油管</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长兴县煤山镇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帅玉华</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18257180960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38</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智能仓储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华璟智能装备（湖州）有限公司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公司是一家专业致力于物流装备、通信设备、智能制造等研发、设计、生产、销售及服务于一体的综合型创新型企业。</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钢制医疗门、保险箱、篮球架、智能药柜、物流设备、钣金打样</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王莉莉</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18367265995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39</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智能仓储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长兴溪谷智能装备股份有限公司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门从事自动化设备研发、制造、与销售的科技型企业。公司研发并制造的产品主要有动力电池生产线上的关键装备、智能物流装备、输送、搬运装备等，目前主要客户有天能、林德、诺力、中力等行业内龙头企业。</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全自动铸焊生产线</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叶欢欢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15167238993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智能仓储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湖州泰迪克自动化科技有限公司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公司是一家专注于带式输送机设计研发、制造、销售、安装调试及工程项目总包为一体的自动化设备生产企业。公司在大带宽、长距离等复杂工艺条件的带式输送机设计和制造上，积累了丰富的经验。</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带式输送机</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熊文燕</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18721308965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41</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智能仓储</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长兴强盛机械有限公司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公司是一家专注于智能仓储物流设备的设计研发、生产制造、安装调试和技术服务的企业。产品远销东南亚、欧洲等20多个国家及地区。</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托盘搬运车</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长兴县开发区</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邵欢</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13918427197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42</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电子元器件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浙江东瓷科技有限公司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专业从事军用集成电路和半导体分立器件高端陶瓷封装外壳、金属封装外壳、老炼测试插座、高端民用光通讯器件等研发、生产和销售的国家专精特新“小巨人”企业。研发生产的SMD型表面贴装外壳获浙江精品制造认定、高可靠封装外壳获国内首批次新材料认定。</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55" name="文本框_92"/>
                  <wp:cNvGraphicFramePr/>
                  <a:graphic xmlns:a="http://schemas.openxmlformats.org/drawingml/2006/main">
                    <a:graphicData uri="http://schemas.openxmlformats.org/drawingml/2006/picture">
                      <pic:pic xmlns:pic="http://schemas.openxmlformats.org/drawingml/2006/picture">
                        <pic:nvPicPr>
                          <pic:cNvPr id="55" name="文本框_92"/>
                          <pic:cNvPicPr/>
                        </pic:nvPicPr>
                        <pic:blipFill>
                          <a:blip r:embed="rId9"/>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56" name="文本框_90"/>
                  <wp:cNvGraphicFramePr/>
                  <a:graphic xmlns:a="http://schemas.openxmlformats.org/drawingml/2006/main">
                    <a:graphicData uri="http://schemas.openxmlformats.org/drawingml/2006/picture">
                      <pic:pic xmlns:pic="http://schemas.openxmlformats.org/drawingml/2006/picture">
                        <pic:nvPicPr>
                          <pic:cNvPr id="56" name="文本框_90"/>
                          <pic:cNvPicPr/>
                        </pic:nvPicPr>
                        <pic:blipFill>
                          <a:blip r:embed="rId10"/>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57" name="文本框_96"/>
                  <wp:cNvGraphicFramePr/>
                  <a:graphic xmlns:a="http://schemas.openxmlformats.org/drawingml/2006/main">
                    <a:graphicData uri="http://schemas.openxmlformats.org/drawingml/2006/picture">
                      <pic:pic xmlns:pic="http://schemas.openxmlformats.org/drawingml/2006/picture">
                        <pic:nvPicPr>
                          <pic:cNvPr id="57" name="文本框_96"/>
                          <pic:cNvPicPr/>
                        </pic:nvPicPr>
                        <pic:blipFill>
                          <a:blip r:embed="rId7"/>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58" name="文本框_98"/>
                  <wp:cNvGraphicFramePr/>
                  <a:graphic xmlns:a="http://schemas.openxmlformats.org/drawingml/2006/main">
                    <a:graphicData uri="http://schemas.openxmlformats.org/drawingml/2006/picture">
                      <pic:pic xmlns:pic="http://schemas.openxmlformats.org/drawingml/2006/picture">
                        <pic:nvPicPr>
                          <pic:cNvPr id="58" name="文本框_98"/>
                          <pic:cNvPicPr/>
                        </pic:nvPicPr>
                        <pic:blipFill>
                          <a:blip r:embed="rId7"/>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176530</wp:posOffset>
                  </wp:positionH>
                  <wp:positionV relativeFrom="paragraph">
                    <wp:posOffset>0</wp:posOffset>
                  </wp:positionV>
                  <wp:extent cx="309880" cy="338455"/>
                  <wp:effectExtent l="0" t="0" r="0" b="0"/>
                  <wp:wrapNone/>
                  <wp:docPr id="59" name="文本框_94"/>
                  <wp:cNvGraphicFramePr/>
                  <a:graphic xmlns:a="http://schemas.openxmlformats.org/drawingml/2006/main">
                    <a:graphicData uri="http://schemas.openxmlformats.org/drawingml/2006/picture">
                      <pic:pic xmlns:pic="http://schemas.openxmlformats.org/drawingml/2006/picture">
                        <pic:nvPicPr>
                          <pic:cNvPr id="59" name="文本框_94"/>
                          <pic:cNvPicPr/>
                        </pic:nvPicPr>
                        <pic:blipFill>
                          <a:blip r:embed="rId7"/>
                          <a:stretch>
                            <a:fillRect/>
                          </a:stretch>
                        </pic:blipFill>
                        <pic:spPr>
                          <a:xfrm>
                            <a:off x="0" y="0"/>
                            <a:ext cx="309880" cy="338455"/>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60" name="文本框_97"/>
                  <wp:cNvGraphicFramePr/>
                  <a:graphic xmlns:a="http://schemas.openxmlformats.org/drawingml/2006/main">
                    <a:graphicData uri="http://schemas.openxmlformats.org/drawingml/2006/picture">
                      <pic:pic xmlns:pic="http://schemas.openxmlformats.org/drawingml/2006/picture">
                        <pic:nvPicPr>
                          <pic:cNvPr id="60" name="文本框_97"/>
                          <pic:cNvPicPr/>
                        </pic:nvPicPr>
                        <pic:blipFill>
                          <a:blip r:embed="rId8"/>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52" name="文本框_91"/>
                  <wp:cNvGraphicFramePr/>
                  <a:graphic xmlns:a="http://schemas.openxmlformats.org/drawingml/2006/main">
                    <a:graphicData uri="http://schemas.openxmlformats.org/drawingml/2006/picture">
                      <pic:pic xmlns:pic="http://schemas.openxmlformats.org/drawingml/2006/picture">
                        <pic:nvPicPr>
                          <pic:cNvPr id="52" name="文本框_91"/>
                          <pic:cNvPicPr/>
                        </pic:nvPicPr>
                        <pic:blipFill>
                          <a:blip r:embed="rId11"/>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36" name="文本框_95"/>
                  <wp:cNvGraphicFramePr/>
                  <a:graphic xmlns:a="http://schemas.openxmlformats.org/drawingml/2006/main">
                    <a:graphicData uri="http://schemas.openxmlformats.org/drawingml/2006/picture">
                      <pic:pic xmlns:pic="http://schemas.openxmlformats.org/drawingml/2006/picture">
                        <pic:nvPicPr>
                          <pic:cNvPr id="36" name="文本框_95"/>
                          <pic:cNvPicPr/>
                        </pic:nvPicPr>
                        <pic:blipFill>
                          <a:blip r:embed="rId8"/>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37" name="文本框_93"/>
                  <wp:cNvGraphicFramePr/>
                  <a:graphic xmlns:a="http://schemas.openxmlformats.org/drawingml/2006/main">
                    <a:graphicData uri="http://schemas.openxmlformats.org/drawingml/2006/picture">
                      <pic:pic xmlns:pic="http://schemas.openxmlformats.org/drawingml/2006/picture">
                        <pic:nvPicPr>
                          <pic:cNvPr id="37" name="文本框_93"/>
                          <pic:cNvPicPr/>
                        </pic:nvPicPr>
                        <pic:blipFill>
                          <a:blip r:embed="rId8"/>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1871980</wp:posOffset>
                  </wp:positionH>
                  <wp:positionV relativeFrom="paragraph">
                    <wp:posOffset>0</wp:posOffset>
                  </wp:positionV>
                  <wp:extent cx="309880" cy="280670"/>
                  <wp:effectExtent l="0" t="0" r="0" b="0"/>
                  <wp:wrapNone/>
                  <wp:docPr id="70" name="文本框_99"/>
                  <wp:cNvGraphicFramePr/>
                  <a:graphic xmlns:a="http://schemas.openxmlformats.org/drawingml/2006/main">
                    <a:graphicData uri="http://schemas.openxmlformats.org/drawingml/2006/picture">
                      <pic:pic xmlns:pic="http://schemas.openxmlformats.org/drawingml/2006/picture">
                        <pic:nvPicPr>
                          <pic:cNvPr id="70" name="文本框_99"/>
                          <pic:cNvPicPr/>
                        </pic:nvPicPr>
                        <pic:blipFill>
                          <a:blip r:embed="rId8"/>
                          <a:stretch>
                            <a:fillRect/>
                          </a:stretch>
                        </pic:blipFill>
                        <pic:spPr>
                          <a:xfrm>
                            <a:off x="0" y="0"/>
                            <a:ext cx="309880" cy="280670"/>
                          </a:xfrm>
                          <a:prstGeom prst="rect">
                            <a:avLst/>
                          </a:prstGeom>
                          <a:noFill/>
                          <a:ln>
                            <a:noFill/>
                          </a:ln>
                        </pic:spPr>
                      </pic:pic>
                    </a:graphicData>
                  </a:graphic>
                </wp:anchor>
              </w:drawing>
            </w:r>
            <w:r>
              <w:rPr>
                <w:rFonts w:hint="default" w:ascii="Times New Roman" w:hAnsi="Times New Roman" w:eastAsia="仿宋_GB2312" w:cs="Times New Roman"/>
                <w:i w:val="0"/>
                <w:iCs w:val="0"/>
                <w:color w:val="000000"/>
                <w:kern w:val="0"/>
                <w:sz w:val="24"/>
                <w:szCs w:val="24"/>
                <w:u w:val="none"/>
                <w:lang w:val="en-US" w:eastAsia="zh-CN" w:bidi="ar"/>
              </w:rPr>
              <w:t>电子陶瓷封装外壳产品、金属封装外壳产品</w:t>
            </w: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长兴县煤山镇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李峰</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13771319111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43</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电子元器件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浙江七星电子股份有限公司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我国薄膜电容器产销规模领先企业。公司建有省企业技术中心、省研发中心、省企业研究院、省博士后工作站等平台，荣获国家级绿色工厂、专精特新“小巨人”企业、国家绿色设计示范企业等荣誉称号。与智新科技（东风汽车子公司）、潍柴动力、深圳硅山、星驱动力（吉利子公司）、蓝海华腾等企业建立了长期合作关系。</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薄膜电容器、金属化电容蒸镀膜</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长兴县煤山镇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李公平</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13913921021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51" w:type="dxa"/>
            <w:bottom w:w="0" w:type="dxa"/>
            <w:right w:w="51" w:type="dxa"/>
          </w:tblCellMar>
        </w:tblPrEx>
        <w:trPr>
          <w:cantSplit/>
          <w:trHeight w:val="454" w:hRule="atLeast"/>
          <w:jc w:val="center"/>
        </w:trPr>
        <w:tc>
          <w:tcPr>
            <w:tcW w:w="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44</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电子元器件</w:t>
            </w:r>
          </w:p>
        </w:tc>
        <w:tc>
          <w:tcPr>
            <w:tcW w:w="7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长兴华强电子股份有限公司</w:t>
            </w:r>
          </w:p>
        </w:tc>
        <w:tc>
          <w:tcPr>
            <w:tcW w:w="1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公司是一家致力于高端电子元器件的设计研发、制造、销售和服务的国家高新技术企业。公司荣获省专精特新中小企业等荣誉，拥有省企业研发中心、博士后工作展等荣誉。</w:t>
            </w:r>
          </w:p>
        </w:tc>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薄膜电容器、电感、高频变压器</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长兴县煤山镇</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李超超</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15957250702</w:t>
            </w:r>
          </w:p>
        </w:tc>
      </w:tr>
    </w:tbl>
    <w:p>
      <w:pPr>
        <w:keepNext w:val="0"/>
        <w:keepLines w:val="0"/>
        <w:pageBreakBefore w:val="0"/>
        <w:widowControl/>
        <w:suppressLineNumbers w:val="0"/>
        <w:kinsoku/>
        <w:wordWrap/>
        <w:overflowPunct/>
        <w:topLinePunct w:val="0"/>
        <w:autoSpaceDE/>
        <w:autoSpaceDN/>
        <w:bidi w:val="0"/>
        <w:adjustRightInd/>
        <w:snapToGrid/>
        <w:spacing w:line="440" w:lineRule="exact"/>
        <w:ind w:firstLine="280" w:firstLineChars="100"/>
        <w:jc w:val="both"/>
        <w:textAlignment w:val="center"/>
        <w:rPr>
          <w:rFonts w:hint="default" w:ascii="Times New Roman" w:hAnsi="Times New Roman" w:eastAsia="仿宋_GB2312" w:cs="Times New Roman"/>
          <w:i w:val="0"/>
          <w:iCs w:val="0"/>
          <w:color w:val="000000"/>
          <w:kern w:val="0"/>
          <w:sz w:val="28"/>
          <w:szCs w:val="28"/>
          <w:u w:val="none"/>
          <w:lang w:val="en-US" w:eastAsia="zh-CN" w:bidi="ar"/>
        </w:rPr>
      </w:pPr>
      <w:r>
        <w:rPr>
          <w:rFonts w:hint="default" w:ascii="Times New Roman" w:hAnsi="Times New Roman" w:eastAsia="仿宋_GB2312" w:cs="Times New Roman"/>
          <w:i w:val="0"/>
          <w:iCs w:val="0"/>
          <w:color w:val="000000"/>
          <w:kern w:val="0"/>
          <w:sz w:val="28"/>
          <w:szCs w:val="28"/>
          <w:u w:val="none"/>
          <w:lang w:val="en-US" w:eastAsia="zh-CN" w:bidi="ar"/>
        </w:rPr>
        <w:t>备注：以上为第一批发布的重点装备产品目录，包含了已公布的《湖州市工业领域推动大规模设备更新装备类精品名录库》和县“50强”企业产品，后续将在企业码平台动态更新。</w:t>
      </w:r>
    </w:p>
    <w:p>
      <w:pPr>
        <w:rPr>
          <w:rFonts w:hint="default" w:ascii="Times New Roman" w:hAnsi="Times New Roman" w:eastAsia="黑体" w:cs="Times New Roman"/>
          <w:sz w:val="32"/>
          <w:szCs w:val="32"/>
          <w:highlight w:val="none"/>
          <w:lang w:val="en-US" w:eastAsia="zh-CN"/>
        </w:rPr>
      </w:pPr>
    </w:p>
    <w:p>
      <w:pPr>
        <w:rPr>
          <w:rFonts w:hint="default" w:ascii="Times New Roman" w:hAnsi="Times New Roman" w:eastAsia="黑体" w:cs="Times New Roman"/>
          <w:sz w:val="32"/>
          <w:szCs w:val="32"/>
          <w:highlight w:val="none"/>
          <w:lang w:val="en-US" w:eastAsia="zh-CN"/>
        </w:rPr>
      </w:pPr>
    </w:p>
    <w:p>
      <w:pPr>
        <w:rPr>
          <w:rFonts w:hint="default" w:ascii="Times New Roman" w:hAnsi="Times New Roman" w:eastAsia="黑体" w:cs="Times New Roman"/>
          <w:sz w:val="32"/>
          <w:szCs w:val="32"/>
          <w:highlight w:val="none"/>
          <w:lang w:val="en-US" w:eastAsia="zh-CN"/>
        </w:rPr>
      </w:pPr>
    </w:p>
    <w:p>
      <w:pPr>
        <w:rPr>
          <w:rFonts w:hint="default" w:ascii="Times New Roman" w:hAnsi="Times New Roman" w:eastAsia="黑体" w:cs="Times New Roman"/>
          <w:sz w:val="32"/>
          <w:szCs w:val="32"/>
          <w:highlight w:val="none"/>
          <w:lang w:val="en-US" w:eastAsia="zh-CN"/>
        </w:rPr>
      </w:pPr>
    </w:p>
    <w:p>
      <w:pPr>
        <w:rPr>
          <w:rFonts w:hint="default" w:ascii="Times New Roman" w:hAnsi="Times New Roman" w:eastAsia="黑体" w:cs="Times New Roman"/>
          <w:sz w:val="32"/>
          <w:szCs w:val="32"/>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default" w:ascii="Times New Roman" w:hAnsi="Times New Roman" w:eastAsia="仿宋_GB2312" w:cs="Times New Roman"/>
          <w:i w:val="0"/>
          <w:iCs w:val="0"/>
          <w:color w:val="000000"/>
          <w:kern w:val="0"/>
          <w:sz w:val="28"/>
          <w:szCs w:val="28"/>
          <w:u w:val="none"/>
          <w:lang w:val="en-US" w:eastAsia="zh-CN" w:bidi="ar"/>
        </w:rPr>
      </w:pPr>
      <w:bookmarkStart w:id="0" w:name="_GoBack"/>
      <w:bookmarkEnd w:id="0"/>
    </w:p>
    <w:sectPr>
      <w:footerReference r:id="rId3" w:type="default"/>
      <w:pgSz w:w="16838" w:h="11906" w:orient="landscape"/>
      <w:pgMar w:top="1361" w:right="1134" w:bottom="1361"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FCA127-2807-418E-904B-DD781139974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3F00EC0C-D591-475C-AA3F-1EA6F7F0263B}"/>
  </w:font>
  <w:font w:name="方正小标宋简体">
    <w:panose1 w:val="02000000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A2NTg2YjRkMzdmZTRiNDViMjMwOTI5NWNiMjgxZGYifQ=="/>
    <w:docVar w:name="KSO_WPS_MARK_KEY" w:val="df8371ec-44fa-4b9c-a676-5d6bddddf8f2"/>
  </w:docVars>
  <w:rsids>
    <w:rsidRoot w:val="00000000"/>
    <w:rsid w:val="014557C2"/>
    <w:rsid w:val="03DC58C8"/>
    <w:rsid w:val="048D172F"/>
    <w:rsid w:val="054005BA"/>
    <w:rsid w:val="07E37ACB"/>
    <w:rsid w:val="0B361312"/>
    <w:rsid w:val="0BF027CF"/>
    <w:rsid w:val="0C9B5CBE"/>
    <w:rsid w:val="0F096081"/>
    <w:rsid w:val="145D38AA"/>
    <w:rsid w:val="1656533C"/>
    <w:rsid w:val="16763C37"/>
    <w:rsid w:val="16A429A6"/>
    <w:rsid w:val="175718FF"/>
    <w:rsid w:val="17AA4951"/>
    <w:rsid w:val="1A8E2644"/>
    <w:rsid w:val="1AB31597"/>
    <w:rsid w:val="1AF57E02"/>
    <w:rsid w:val="1B8706FB"/>
    <w:rsid w:val="1CC12887"/>
    <w:rsid w:val="1FA85A18"/>
    <w:rsid w:val="202131F0"/>
    <w:rsid w:val="220555B1"/>
    <w:rsid w:val="235D1F02"/>
    <w:rsid w:val="2A935CBE"/>
    <w:rsid w:val="2AB155A7"/>
    <w:rsid w:val="2AF73AD5"/>
    <w:rsid w:val="2B964CE9"/>
    <w:rsid w:val="2D5B72F6"/>
    <w:rsid w:val="2F01691D"/>
    <w:rsid w:val="2FDB0A0A"/>
    <w:rsid w:val="30464067"/>
    <w:rsid w:val="31112BA3"/>
    <w:rsid w:val="336D2176"/>
    <w:rsid w:val="37265A37"/>
    <w:rsid w:val="38073285"/>
    <w:rsid w:val="393B0D2C"/>
    <w:rsid w:val="3A8320DA"/>
    <w:rsid w:val="3AD66EB0"/>
    <w:rsid w:val="3D8B730E"/>
    <w:rsid w:val="3EEC4EF4"/>
    <w:rsid w:val="3EF30507"/>
    <w:rsid w:val="3FF676AC"/>
    <w:rsid w:val="404229E4"/>
    <w:rsid w:val="41636FC4"/>
    <w:rsid w:val="41BA3087"/>
    <w:rsid w:val="41C061C4"/>
    <w:rsid w:val="465C72E2"/>
    <w:rsid w:val="466B6F82"/>
    <w:rsid w:val="4BF74ED8"/>
    <w:rsid w:val="4F865CD0"/>
    <w:rsid w:val="5002093E"/>
    <w:rsid w:val="503171F5"/>
    <w:rsid w:val="519A258E"/>
    <w:rsid w:val="52860B49"/>
    <w:rsid w:val="535A3249"/>
    <w:rsid w:val="5503044A"/>
    <w:rsid w:val="553E76D4"/>
    <w:rsid w:val="595C6A5E"/>
    <w:rsid w:val="5AC24903"/>
    <w:rsid w:val="5BF21865"/>
    <w:rsid w:val="5CE768A3"/>
    <w:rsid w:val="5F8B6188"/>
    <w:rsid w:val="607913B0"/>
    <w:rsid w:val="61502C69"/>
    <w:rsid w:val="61EA6C19"/>
    <w:rsid w:val="633A597E"/>
    <w:rsid w:val="63B012FC"/>
    <w:rsid w:val="64F93B52"/>
    <w:rsid w:val="65085608"/>
    <w:rsid w:val="65AA1511"/>
    <w:rsid w:val="65C32D3A"/>
    <w:rsid w:val="6C77379F"/>
    <w:rsid w:val="6F72024E"/>
    <w:rsid w:val="701201D9"/>
    <w:rsid w:val="75086DDD"/>
    <w:rsid w:val="756659AC"/>
    <w:rsid w:val="7C0E12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0"/>
    <w:pPr>
      <w:widowControl w:val="0"/>
      <w:spacing w:before="100" w:beforeAutospacing="1" w:after="100" w:afterAutospacing="1"/>
      <w:jc w:val="both"/>
      <w:outlineLvl w:val="0"/>
    </w:pPr>
    <w:rPr>
      <w:rFonts w:ascii="Calibri" w:hAnsi="Calibri" w:eastAsia="宋体" w:cs="Times New Roman"/>
      <w:b/>
      <w:kern w:val="44"/>
      <w:sz w:val="44"/>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Normal Indent1"/>
    <w:qFormat/>
    <w:uiPriority w:val="99"/>
    <w:pPr>
      <w:widowControl w:val="0"/>
      <w:ind w:firstLine="420" w:firstLineChars="200"/>
      <w:jc w:val="both"/>
    </w:pPr>
    <w:rPr>
      <w:rFonts w:ascii="Times New Roman" w:hAnsi="Times New Roman" w:eastAsia="仿宋_GB2312" w:cs="Times New Roman"/>
      <w:kern w:val="2"/>
      <w:sz w:val="32"/>
      <w:szCs w:val="22"/>
      <w:lang w:val="en-US" w:eastAsia="zh-CN" w:bidi="ar-SA"/>
    </w:rPr>
  </w:style>
  <w:style w:type="paragraph" w:styleId="4">
    <w:name w:val="Plain Text"/>
    <w:basedOn w:val="1"/>
    <w:qFormat/>
    <w:uiPriority w:val="99"/>
    <w:pPr>
      <w:adjustRightInd/>
      <w:spacing w:line="240" w:lineRule="auto"/>
      <w:ind w:firstLine="200" w:firstLineChars="200"/>
      <w:textAlignment w:val="auto"/>
    </w:pPr>
    <w:rPr>
      <w:rFonts w:ascii="宋体" w:hAnsi="Courier New" w:eastAsia="仿宋_GB2312" w:cs="Courier New"/>
      <w:kern w:val="2"/>
      <w:sz w:val="32"/>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Default"/>
    <w:qFormat/>
    <w:uiPriority w:val="0"/>
    <w:pPr>
      <w:widowControl w:val="0"/>
      <w:autoSpaceDE w:val="0"/>
      <w:autoSpaceDN w:val="0"/>
      <w:adjustRightInd w:val="0"/>
    </w:pPr>
    <w:rPr>
      <w:rFonts w:ascii="仿宋_GB2312" w:hAnsi="仿宋_GB2312" w:eastAsia="仿宋_GB2312" w:cs="仿宋_GB2312"/>
      <w:color w:val="000000"/>
      <w:sz w:val="24"/>
      <w:szCs w:val="24"/>
      <w:lang w:val="en-US" w:eastAsia="zh-CN" w:bidi="ar-SA"/>
    </w:rPr>
  </w:style>
  <w:style w:type="character" w:customStyle="1" w:styleId="10">
    <w:name w:val="font91"/>
    <w:basedOn w:val="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17138</Words>
  <Characters>18884</Characters>
  <Lines>0</Lines>
  <Paragraphs>0</Paragraphs>
  <TotalTime>4</TotalTime>
  <ScaleCrop>false</ScaleCrop>
  <LinksUpToDate>false</LinksUpToDate>
  <CharactersWithSpaces>18889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2024-05-12T04:18:00Z</dcterms:created>
  <dc:creator>Administrator</dc:creator>
  <cp:lastModifiedBy>8226982991</cp:lastModifiedBy>
  <cp:lastPrinted>2024-05-27T10:12:00Z</cp:lastPrinted>
  <dcterms:modified xsi:type="dcterms:W3CDTF">2024-06-05T08:13:22Z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E3835650407C4965B35A8E40B4FE5EF2_13</vt:lpwstr>
  </property>
</Properties>
</file>