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trike w:val="0"/>
          <w:dstrike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trike w:val="0"/>
          <w:dstrike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trike w:val="0"/>
          <w:dstrike w:val="0"/>
          <w:color w:val="auto"/>
          <w:kern w:val="2"/>
          <w:sz w:val="44"/>
          <w:szCs w:val="44"/>
          <w:lang w:val="en-US" w:eastAsia="zh-CN" w:bidi="ar-SA"/>
        </w:rPr>
        <w:t>关于《诸暨市推进先进制造业强市建设促进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trike w:val="0"/>
          <w:dstrike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trike w:val="0"/>
          <w:dstrike w:val="0"/>
          <w:color w:val="auto"/>
          <w:kern w:val="2"/>
          <w:sz w:val="44"/>
          <w:szCs w:val="44"/>
          <w:lang w:val="en-US" w:eastAsia="zh-CN" w:bidi="ar-SA"/>
        </w:rPr>
        <w:t>高质量发展政策意见（20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trike w:val="0"/>
          <w:dstrike w:val="0"/>
          <w:color w:val="auto"/>
          <w:kern w:val="2"/>
          <w:sz w:val="44"/>
          <w:szCs w:val="44"/>
          <w:lang w:val="en-US" w:eastAsia="zh-CN" w:bidi="ar-SA"/>
        </w:rPr>
        <w:t>25年修订版）》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trike w:val="0"/>
          <w:dstrike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trike w:val="0"/>
          <w:dstrike w:val="0"/>
          <w:color w:val="auto"/>
          <w:kern w:val="2"/>
          <w:sz w:val="44"/>
          <w:szCs w:val="44"/>
          <w:lang w:val="en-US" w:eastAsia="zh-CN" w:bidi="ar-SA"/>
        </w:rPr>
        <w:t>的修订说明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经信局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trike w:val="0"/>
          <w:dstrike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trike w:val="0"/>
          <w:dstrike w:val="0"/>
          <w:sz w:val="32"/>
          <w:szCs w:val="32"/>
          <w:lang w:val="en-US" w:eastAsia="zh-CN"/>
        </w:rPr>
        <w:t>修订依据</w:t>
      </w:r>
      <w:r>
        <w:rPr>
          <w:rFonts w:hint="default" w:ascii="Times New Roman" w:hAnsi="Times New Roman" w:eastAsia="黑体" w:cs="Times New Roman"/>
          <w:strike w:val="0"/>
          <w:dstrike w:val="0"/>
          <w:sz w:val="32"/>
          <w:szCs w:val="32"/>
          <w:lang w:eastAsia="zh-CN"/>
        </w:rPr>
        <w:t>和过程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为进一步强化精准扶持，减轻财政压力，按照“开门定政策”要求，实施2025年制造业强市政策修订。具体分为五步：一是向上对接省市政策有关精神；二是向部门、科室征询汇总修改意见，包括修改理由、盘子变化；三是市分管领导审阅；四是再次向有关部门（发改局、财政局、市场监管局）、社会公众征求意见；五是公示并提交政策专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trike w:val="0"/>
          <w:dstrike w:val="0"/>
          <w:sz w:val="32"/>
          <w:szCs w:val="32"/>
          <w:lang w:val="en-US" w:eastAsia="zh-CN"/>
        </w:rPr>
        <w:t>二、重点修改和变化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本政策包含加快制造方式转型、深化创新链产业链融合、培育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数字产业集群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深入推进绿色发展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、推进优质优品提升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有关费用列支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、其他七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方面内容，共三十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条，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总盘子1.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54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亿元。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350" w:rightChars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（一）承接上级政策精神</w:t>
      </w:r>
      <w:r>
        <w:rPr>
          <w:rFonts w:hint="eastAsia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新增</w:t>
      </w:r>
      <w:r>
        <w:rPr>
          <w:rFonts w:hint="eastAsia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部分</w:t>
      </w:r>
      <w:r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条款</w:t>
      </w:r>
      <w:r>
        <w:rPr>
          <w:rFonts w:hint="eastAsia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一是新增对新认定的省级历史经典产业传承创新工作室奖励20万元，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预计盘子增加20万元</w:t>
      </w: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新增对当年认定为浙江省国际、国内、省内首批次新材料产品的，分别奖励100万元、50万元和25万元，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预计盘子增加50万元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是根据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绍兴市质量工作考核要求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，新增对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获得质量贷款的企业按照当年1月1日一年期LPR的50%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、封顶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每年10万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元、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累计30万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元补助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预计盘子增加30万元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350" w:rightChars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（二）为强化精准扶持，取消对已结束的试点争创工作、部分绩效不明显、空转条款的奖励。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一是取消对省、市级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5G全连接工厂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10万、30万（20万、10万）的奖励，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预计盘子减少100万元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二是取消对袜业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数字化车间每台联网袜机不超过1500元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的补助，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预计盘子减少1000万元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三是取消对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两化融合管理体系贯标评定AAA级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30万元、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AA级的10万元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的奖励，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预计盘子减少200万元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四是取消对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两化融合试点示范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项目国家级50万元、省级20万元的奖励；对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市级“云上企业”培育库5万元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的奖励。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预计盘子减少140万元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五是取消对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省专精特新产业园三星级区20万元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对当年认定的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省级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小微企业园10万元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绍兴市特色产业园20万元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预计盘子减少70万元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六是取消对袜业一体机按12%、封顶500万元的补助，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预计盘子减少5000万元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七是取消对信息工程服务公司、智能制造工程服务公司、省级数字化改造服务商的奖励，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八是取消对国家智能制造相关试点示范项目100万元的奖励，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预计盘子减少500万元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 xml:space="preserve">    九是取消对通过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国家级单项冠军复核10万元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“小巨人”复核10万元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省专精特新复核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1万元的奖励，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预计盘子减少500万元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十是取消对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考核优秀的工业行业协会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万元奖励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预计盘子减少15万元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十一是取消对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国家级、省级数字经济核心产业类试点示范企业，分别奖励100万元、50万元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预计盘子减少100万元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省级首版次软件产品励50万元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国家级、省级工业互联网APP优秀解决方案或工业软件优秀产品分别奖励企业50万元、20万元。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预计盘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子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减少50万元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十二是绿色发展方面，取消对绍兴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市绿色制造类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节水型企业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分别奖励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8万元和3万元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国家、浙江省绿色制造类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认定由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奖励50、20万元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调整为20、10万元。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预计盘子由480万削减至160万，减少320万元。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企业“腾笼换鸟”过户土地3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10亩20万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10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30亩50万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30亩以上80万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的奖励，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预计盘子减少1800万元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“零增地”扩容项目增加建筑面积5000平方米以上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500-5000平方米的，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分别奖励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0元/平方米、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0元/平方米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调整为5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0元/平方米、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0元/平方米，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封顶2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00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万元降至100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万元。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预计盘子由700万削减至400万，减少300万元。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省循环经济“991”项目或绍兴市循环经济“850”项目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10万元的奖励，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预计盘子减少50万元。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十三是优质优品方面，取消对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省政府质量奖100万元、省质量管理创新奖30万元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国家实验室20万元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质量基础设施一站式服务五星级平台10万元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省重大标准创新贡献奖30万元、优秀贡献奖10万元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五星级质量管理企业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10万元、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“浙江制造”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20万元的奖励；取消对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成立全国专业标准化技术委员会、分技术委员会、工作组企业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的奖励及补助经费；对企业主导制定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国际标准、国家标准、行业标准、省级地方标准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，由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分别奖励50、30、20、10万元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调整为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50、25、15、10万元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预计盘子由1500万削减至600万，减少900万元。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350" w:rightChars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为削减低效支出、减轻财政压力，降低非重点工作的奖励标准。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一是对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企业实施数字化改造投入总额的30%补助，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封顶金额由150万元调整至100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预计盘子由4000万削减至2200万，减少1800万元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二是对企业通过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数据管理能力成熟度（DCMM）国家标准贯标4级、3级、2级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的奖励，由50、40、30万元调整至30、20、10万元，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预计盘子由150万削减至100万，减少50万元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三是对设备技改奖励由6%、9%、12%梯次奖励统一下调为按5%奖励、封顶1500万降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至1000万元，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预计盘子由2亿削减至</w:t>
      </w: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8000万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，减少1</w:t>
      </w: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.2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亿元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四是对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省雄鹰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企业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、省隐形冠军奖励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100万元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调整至40万元，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预计盘子由200万削减至80万元，减少120万元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五是对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新升规企业奖励10万元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月度升规奖励15万元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统一调整为对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当年新纳入国家统计局网上直报的规模以上工业法人，奖励5万元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预计盘子由1450万削减至675万，减少775万元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六是对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国家级、省级服务型制造示范企业分别奖励100万元、50万元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调整为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50万元、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预计盘子由50万削减至30万，减少20万元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七是对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列入工信部印染企业规范公告名单的企业奖励50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万元调整为30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；对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历史经典制造业（黄酒、珍珠）营收3亿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增长10%奖励50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万元调整为30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营收1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3亿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增长12%奖励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万元调整为20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万元；营收5000万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1亿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增长15%奖励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万元调整为10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。预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计盘子由200万削减至120万，减少80万元。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八是军民融合方面，对一级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保密资格的企业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由奖励50万元降至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40万元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，对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一类、二类科研生产许可的企业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奖励50万元、30万元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降至30万元、20万元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取消对取得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军选民用装备承制单位注册证书的企业10万元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的奖励、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省级军民融合示范企业10万元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的奖励；取消对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A类、B类承制单位资格分别50万、20万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元的奖励。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预计盘子由500万削减至250万，减少250万元。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九是医药产业方面，对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企业新药研发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国家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相关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注册批件证书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等的奖励标准降低50%，预计盘子由830万削减至150万，减少680万元。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对引进的产业项目补助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由封顶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en-US" w:bidi="ar-SA"/>
        </w:rPr>
        <w:t>1亿元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降至5000万，并降低补助比例，</w:t>
      </w:r>
      <w:r>
        <w:rPr>
          <w:rFonts w:hint="default" w:ascii="Times New Roman" w:hAnsi="Times New Roman" w:eastAsia="仿宋_GB2312" w:cs="Times New Roman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预计盘子由200万削减至100万，减少100万元。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 xml:space="preserve">    十是对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数字经济核心产业制造业企业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首次升规且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销售1亿、5000万、2000万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分别奖励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200、100、50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降至100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、60、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；对次年增长超20%且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销售1亿、5000万、2000万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分别奖励200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100、50万元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降至100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、60、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预计盘子由1000万削减至500万，减少500万元。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十一是对企业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en-US"/>
        </w:rPr>
        <w:t>技改淘汰落后产能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的设备补助由封顶300万调整为200万元，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预计盘子由200万削减至100万，减少100万元。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十二是对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省级优秀工业新产品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一、二、三等奖由分别奖励50、30、20万调整为30、20、10万元；对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浙江制造精品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每只奖励20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万调整为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10万元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省级工业新产品（新技术）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每只奖励2万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、封顶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调整为每只1万、封顶3万。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预计盘子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由370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万削减至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150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万，减少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220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587" w:right="1757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200AD"/>
    <w:multiLevelType w:val="singleLevel"/>
    <w:tmpl w:val="79E200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03049"/>
    <w:rsid w:val="005B0721"/>
    <w:rsid w:val="00724552"/>
    <w:rsid w:val="01E9612A"/>
    <w:rsid w:val="02222F29"/>
    <w:rsid w:val="02225B04"/>
    <w:rsid w:val="02820E85"/>
    <w:rsid w:val="02B01361"/>
    <w:rsid w:val="02F22A90"/>
    <w:rsid w:val="03DD537A"/>
    <w:rsid w:val="04AB5C2F"/>
    <w:rsid w:val="04C01C5A"/>
    <w:rsid w:val="051303DF"/>
    <w:rsid w:val="05C8372F"/>
    <w:rsid w:val="05F17DCE"/>
    <w:rsid w:val="06C74ECC"/>
    <w:rsid w:val="077A1300"/>
    <w:rsid w:val="08B4633C"/>
    <w:rsid w:val="08FC124B"/>
    <w:rsid w:val="09CC5B1F"/>
    <w:rsid w:val="0A3B43C5"/>
    <w:rsid w:val="0A85782E"/>
    <w:rsid w:val="0B047EEA"/>
    <w:rsid w:val="0BA27CA4"/>
    <w:rsid w:val="0C9A023C"/>
    <w:rsid w:val="0D0E1830"/>
    <w:rsid w:val="0D8A2613"/>
    <w:rsid w:val="0DDE6812"/>
    <w:rsid w:val="0DE27833"/>
    <w:rsid w:val="101175B4"/>
    <w:rsid w:val="10440C22"/>
    <w:rsid w:val="13674AF1"/>
    <w:rsid w:val="13E7095B"/>
    <w:rsid w:val="14FD767C"/>
    <w:rsid w:val="1506272C"/>
    <w:rsid w:val="15242DBE"/>
    <w:rsid w:val="16D0669C"/>
    <w:rsid w:val="17AA748A"/>
    <w:rsid w:val="17BC52F6"/>
    <w:rsid w:val="18962219"/>
    <w:rsid w:val="1A10746D"/>
    <w:rsid w:val="1A2D5CFF"/>
    <w:rsid w:val="1B217891"/>
    <w:rsid w:val="1B4951D2"/>
    <w:rsid w:val="1BAF3FE1"/>
    <w:rsid w:val="1D7842C5"/>
    <w:rsid w:val="1EFD2427"/>
    <w:rsid w:val="1F9C54B5"/>
    <w:rsid w:val="20394FEA"/>
    <w:rsid w:val="210466A8"/>
    <w:rsid w:val="22621177"/>
    <w:rsid w:val="229805DC"/>
    <w:rsid w:val="22DB7B3C"/>
    <w:rsid w:val="23847F75"/>
    <w:rsid w:val="23B35621"/>
    <w:rsid w:val="24503049"/>
    <w:rsid w:val="24C818E6"/>
    <w:rsid w:val="255C4C6A"/>
    <w:rsid w:val="26B92562"/>
    <w:rsid w:val="26C92330"/>
    <w:rsid w:val="27A74232"/>
    <w:rsid w:val="27EB370D"/>
    <w:rsid w:val="2BD30AF4"/>
    <w:rsid w:val="2C062248"/>
    <w:rsid w:val="2C7E0FBF"/>
    <w:rsid w:val="2CED5013"/>
    <w:rsid w:val="2D71149A"/>
    <w:rsid w:val="2E0221C2"/>
    <w:rsid w:val="2EB30BAD"/>
    <w:rsid w:val="2EDF0EB4"/>
    <w:rsid w:val="30A5696A"/>
    <w:rsid w:val="30D034A6"/>
    <w:rsid w:val="311D0D4C"/>
    <w:rsid w:val="31897475"/>
    <w:rsid w:val="33752F44"/>
    <w:rsid w:val="350C2516"/>
    <w:rsid w:val="354A1FFA"/>
    <w:rsid w:val="36020FC4"/>
    <w:rsid w:val="366F49F6"/>
    <w:rsid w:val="37172AC5"/>
    <w:rsid w:val="371D6EBC"/>
    <w:rsid w:val="388112E1"/>
    <w:rsid w:val="38AD4F02"/>
    <w:rsid w:val="38C34C43"/>
    <w:rsid w:val="38DC42C0"/>
    <w:rsid w:val="3A174025"/>
    <w:rsid w:val="3B476ACD"/>
    <w:rsid w:val="3B7C4AEB"/>
    <w:rsid w:val="3C4D75D1"/>
    <w:rsid w:val="3C764FC0"/>
    <w:rsid w:val="3CE6727C"/>
    <w:rsid w:val="3D271561"/>
    <w:rsid w:val="3D7570E2"/>
    <w:rsid w:val="3FDA7850"/>
    <w:rsid w:val="40204742"/>
    <w:rsid w:val="40CB4BDA"/>
    <w:rsid w:val="4113511F"/>
    <w:rsid w:val="41AE6B81"/>
    <w:rsid w:val="42597579"/>
    <w:rsid w:val="429554CB"/>
    <w:rsid w:val="43720610"/>
    <w:rsid w:val="43AA1790"/>
    <w:rsid w:val="43B655A2"/>
    <w:rsid w:val="43FD3798"/>
    <w:rsid w:val="467037BD"/>
    <w:rsid w:val="46EF3BF1"/>
    <w:rsid w:val="47D91D8D"/>
    <w:rsid w:val="480A2B49"/>
    <w:rsid w:val="4A520AB3"/>
    <w:rsid w:val="4A8017C9"/>
    <w:rsid w:val="4A99490F"/>
    <w:rsid w:val="4B294C6B"/>
    <w:rsid w:val="4D3A4447"/>
    <w:rsid w:val="4DAF1881"/>
    <w:rsid w:val="4E4D6006"/>
    <w:rsid w:val="50C2318C"/>
    <w:rsid w:val="50C25B31"/>
    <w:rsid w:val="52183ABE"/>
    <w:rsid w:val="52D73914"/>
    <w:rsid w:val="54411E49"/>
    <w:rsid w:val="551F5FB4"/>
    <w:rsid w:val="556F7038"/>
    <w:rsid w:val="55AD6B1D"/>
    <w:rsid w:val="5735569F"/>
    <w:rsid w:val="577E46FF"/>
    <w:rsid w:val="59DA0593"/>
    <w:rsid w:val="5A8D779D"/>
    <w:rsid w:val="5B7831A0"/>
    <w:rsid w:val="5C51393A"/>
    <w:rsid w:val="5C6C11FD"/>
    <w:rsid w:val="5CB04F3A"/>
    <w:rsid w:val="5CE21518"/>
    <w:rsid w:val="5D7F7757"/>
    <w:rsid w:val="5E8018EA"/>
    <w:rsid w:val="5E897C12"/>
    <w:rsid w:val="5F053010"/>
    <w:rsid w:val="5F9167D9"/>
    <w:rsid w:val="5F9573DD"/>
    <w:rsid w:val="60A5089F"/>
    <w:rsid w:val="61E843AE"/>
    <w:rsid w:val="61EF75BD"/>
    <w:rsid w:val="631568E2"/>
    <w:rsid w:val="63917F2C"/>
    <w:rsid w:val="67BA0DE2"/>
    <w:rsid w:val="67EB36EB"/>
    <w:rsid w:val="682057E3"/>
    <w:rsid w:val="682D2C35"/>
    <w:rsid w:val="684767E5"/>
    <w:rsid w:val="68D35199"/>
    <w:rsid w:val="6A572E84"/>
    <w:rsid w:val="6A864078"/>
    <w:rsid w:val="6AB10E43"/>
    <w:rsid w:val="6BEA7E1E"/>
    <w:rsid w:val="6C5C5E0A"/>
    <w:rsid w:val="6CD6671B"/>
    <w:rsid w:val="6D0105AD"/>
    <w:rsid w:val="6D9C0A62"/>
    <w:rsid w:val="6E3531DF"/>
    <w:rsid w:val="70B950FC"/>
    <w:rsid w:val="718225C7"/>
    <w:rsid w:val="7317045F"/>
    <w:rsid w:val="739B1DC8"/>
    <w:rsid w:val="745C662B"/>
    <w:rsid w:val="74EA6126"/>
    <w:rsid w:val="76444112"/>
    <w:rsid w:val="76FF1730"/>
    <w:rsid w:val="77000B95"/>
    <w:rsid w:val="78941160"/>
    <w:rsid w:val="791813B9"/>
    <w:rsid w:val="79342DB1"/>
    <w:rsid w:val="795835B5"/>
    <w:rsid w:val="7999518A"/>
    <w:rsid w:val="799C49FA"/>
    <w:rsid w:val="79A03E0B"/>
    <w:rsid w:val="7B9F5AA1"/>
    <w:rsid w:val="7BB5351A"/>
    <w:rsid w:val="7BC478E0"/>
    <w:rsid w:val="7D5FB135"/>
    <w:rsid w:val="7D7C3481"/>
    <w:rsid w:val="7D8A4186"/>
    <w:rsid w:val="7E13413D"/>
    <w:rsid w:val="7E66156B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99"/>
    <w:pPr>
      <w:spacing w:beforeLines="0" w:afterLines="0"/>
      <w:ind w:left="795" w:right="350" w:hanging="440"/>
      <w:outlineLvl w:val="0"/>
    </w:pPr>
    <w:rPr>
      <w:rFonts w:hint="eastAsia" w:ascii="PMingLiU" w:eastAsia="PMingLiU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customStyle="1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2022-02-23T11:02:00Z</dcterms:created>
  <dc:creator>DELL</dc:creator>
  <cp:lastModifiedBy>Administrator</cp:lastModifiedBy>
  <cp:lastPrinted>2022-02-28T14:10:00Z</cp:lastPrinted>
  <dcterms:modified xsi:type="dcterms:W3CDTF">2024-12-26T08:56:34Z</dcterms:modified>
  <dc:title>关于修订政策的函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BFF54C8168864D248AB76285C33749AE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