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705" w:lineRule="atLeast"/>
        <w:jc w:val="center"/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eastAsia="zh-CN"/>
        </w:rPr>
      </w:pPr>
      <w:bookmarkStart w:id="0" w:name="_GoBack"/>
      <w:r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eastAsia="zh-CN"/>
        </w:rPr>
        <w:t>瓯海区关于推动工贸分离发展的实施意见</w:t>
      </w:r>
    </w:p>
    <w:bookmarkEnd w:id="0"/>
    <w:p>
      <w:pPr>
        <w:pStyle w:val="4"/>
        <w:spacing w:before="0" w:beforeAutospacing="0" w:after="0" w:afterAutospacing="0" w:line="705" w:lineRule="atLeast"/>
        <w:jc w:val="center"/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val="en-US" w:eastAsia="zh-CN"/>
        </w:rPr>
      </w:pPr>
      <w:r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val="en-US" w:eastAsia="zh-CN"/>
        </w:rPr>
        <w:t>（</w:t>
      </w:r>
      <w:r>
        <w:rPr>
          <w:rStyle w:val="8"/>
          <w:rFonts w:hint="eastAsia" w:ascii="楷体" w:hAnsi="楷体" w:eastAsia="楷体" w:cs="楷体"/>
          <w:color w:val="454545"/>
          <w:sz w:val="44"/>
          <w:szCs w:val="44"/>
          <w:lang w:val="en-US" w:eastAsia="zh-CN"/>
        </w:rPr>
        <w:t>征求意见稿</w:t>
      </w:r>
      <w:r>
        <w:rPr>
          <w:rStyle w:val="8"/>
          <w:rFonts w:hint="eastAsia" w:ascii="方正小标宋简体" w:hAnsi="微软雅黑" w:eastAsia="方正小标宋简体" w:cstheme="minorBidi"/>
          <w:color w:val="454545"/>
          <w:sz w:val="44"/>
          <w:szCs w:val="44"/>
          <w:lang w:val="en-US" w:eastAsia="zh-CN"/>
        </w:rPr>
        <w:t>）</w:t>
      </w:r>
    </w:p>
    <w:p>
      <w:pPr>
        <w:pStyle w:val="4"/>
        <w:spacing w:before="0" w:beforeAutospacing="0" w:after="0" w:afterAutospacing="0" w:line="705" w:lineRule="atLeast"/>
        <w:ind w:firstLine="640" w:firstLineChars="200"/>
        <w:jc w:val="left"/>
        <w:rPr>
          <w:rStyle w:val="8"/>
          <w:rFonts w:hint="eastAsia" w:ascii="黑体" w:hAnsi="黑体" w:eastAsia="黑体"/>
          <w:color w:val="45454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为加快我区商贸业发展，不断优化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产业结构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占比，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形成产业协调互动的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格局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，经研究决定，实施商贸业提质扩容工作，特制定本实施意见。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坚持“政府推动、企业主导、分步推进、促进发展”原则，积极引导有条件的制造业企业与现代服务业有机融合、协同发展，实施“工贸分离”，促进瓯海区商贸业结构优化升级。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重要意义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商贸业提质扩容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推进社会经济领域深化改革、探索二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产业实施主辅分离途径的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重要举措，是优化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我区二三次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产业结构、加快经济转型发展的重要方式；是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现代化管理体系建设、</w:t>
      </w:r>
      <w:r>
        <w:rPr>
          <w:rFonts w:hint="eastAsia" w:ascii="仿宋_GB2312" w:hAnsi="仿宋_GB2312" w:eastAsia="仿宋_GB2312" w:cs="仿宋_GB2312"/>
          <w:sz w:val="32"/>
          <w:szCs w:val="32"/>
        </w:rPr>
        <w:t>降低成本提高效益的有效途径。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聚焦我区集聚度较高的产业集群，着力于企业转型升级的迫切要求，积极鼓励企业将产业链中营销、采购等高附加值环节做大，探索开展制造业企业“工贸分离”，同步推进建筑业企业、商贸企业“建贸分离”“商商分离”。到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年底，分离企业80家以上；按照批发业年销售额2000万元以上、零售业年销售额500万元以上、住餐业年营业额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200万元以上的入库标准，达到限额以上并纳统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0家以上。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</w:t>
      </w:r>
      <w:r>
        <w:rPr>
          <w:rFonts w:hint="eastAsia" w:ascii="黑体" w:hAnsi="黑体" w:eastAsia="黑体" w:cs="黑体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依法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稳定，</w:t>
      </w:r>
      <w:r>
        <w:rPr>
          <w:rFonts w:hint="eastAsia" w:ascii="楷体" w:hAnsi="楷体" w:eastAsia="楷体" w:cs="楷体"/>
          <w:sz w:val="32"/>
          <w:szCs w:val="32"/>
        </w:rPr>
        <w:t>创新推动。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有关部门单位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的前提下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开展调查研究，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因商贸业提质扩容工作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发展和社会稳定；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要不断解放思想，努力探索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主辅助分离的相关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企业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自愿，</w:t>
      </w:r>
      <w:r>
        <w:rPr>
          <w:rFonts w:hint="eastAsia" w:ascii="楷体" w:hAnsi="楷体" w:eastAsia="楷体" w:cs="楷体"/>
          <w:sz w:val="32"/>
          <w:szCs w:val="32"/>
        </w:rPr>
        <w:t>政策引导。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要充分遵循市场经济规律，在企业自愿前提下，通过充分调查综合分析，制订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扶持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政策引导企业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工贸</w:t>
      </w:r>
      <w:r>
        <w:rPr>
          <w:rFonts w:hint="eastAsia" w:ascii="仿宋_GB2312" w:hAnsi="仿宋_GB2312" w:eastAsia="仿宋_GB2312" w:cs="仿宋_GB2312"/>
          <w:sz w:val="32"/>
          <w:szCs w:val="32"/>
        </w:rPr>
        <w:t>分离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点面兼顾，提炼经验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商贸业提质扩容工作既要突出我区主导优势产业，又要尽量扩大各行业的覆盖面，全面分析各行业企业实施分离存在的差异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使商贸业提质扩容工作推广更具可行性。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8"/>
          <w:rFonts w:hint="eastAsia" w:ascii="黑体" w:hAnsi="黑体" w:eastAsia="黑体"/>
          <w:color w:val="454545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Style w:val="8"/>
          <w:rFonts w:hint="eastAsia" w:ascii="黑体" w:hAnsi="黑体" w:eastAsia="黑体"/>
          <w:color w:val="454545"/>
          <w:sz w:val="32"/>
          <w:szCs w:val="32"/>
        </w:rPr>
        <w:t>扶持政策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对2020年1月1日以来，制造业企业实施工贸分离并纳入限上商贸业统计的予以奖励，助力其做大做强。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1.零售业企业销售额首次分别达到5000万元、1亿元、3亿元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、5亿元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以上的，分别给予10万、20万元、40万元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、80万元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奖励，奖励实行补差额制；批发业企业销售额首次分别达到1亿元、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3亿元、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5亿元、10亿元以上的，分别给予10万、20万元、40万元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-SA"/>
        </w:rPr>
        <w:t>、80万元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奖励，奖励实行补差额制。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2.纳统后的第二年、第三年全年仍在库的商贸企业每年予以2万元的奖励。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纳统后第二年起，零售业企业新增销售额2000万元以上，批发业企业新增销售额1亿元以上，且销售额同比增长高于全区平均增长水平5个百分点以上的，给予5万元奖励；零售业企业新增销售额2000万元以上，批发业企业新增销售额1亿元以上，且销售额同比增长高于全区平均增长水平10个百分点以上的，给予10万元奖励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4.对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分离的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商贸企业产生的办公用房租金给予补助，自政策实施起分别给予第一年100%、第二年70%、第三年50%补助，每年最高补助不超过5万元；租用母体企业自有产权的除外。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1.加大政策宣传。各相关职能部门要加大政策宣传，有针对性地推广企业工贸分离成功案例，提高企业对开展工贸分离的认识，消除顾虑，引导企业自愿、主动实施工贸分离。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2.加强业务指导。各相关职能部门要深入了解企业工贸分离的困难与顾虑，对具备一定条件的企业进行辅导，帮助企业解决在分离过程中遇到的社保、税务、财务核算分立等问题，确保分离企业健康运行。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3.加强部门配合。经信、财政、人社、商务、科技、税务等部门要密切配合，研究分析二、三产分离过程中的政策需求，及时调整和完善政策措施，充分发挥政策的杠杆作用和引导作用。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七.工作机制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强化组织领导。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瓯海区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商贸业提质扩容工作领导小组，负责工贸分离工作的日常组织和综合协调。由区政府分管领导任组长，区府办、区商务局、区经信局、区财政局、区人社局、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区住建局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、区市监局、区统计局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区税务局为成员单位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领导小组下设办公室，办公室设在区商务局。各镇街（开发区）要成立工作专班，全面排查摸底，加强宣传引导，同时建立培育库，确保各项工作持续有序推进。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明确分工协作。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各部门要提高认识、统一思想、密切配合，及时提供相关的基础数据材料，积极发挥专业优势提出科学合理的建议意见，确保商贸业提质扩容工作卓有成效。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加强宣传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引导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各有关部门要向企业广泛宣传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商贸业提质扩容工作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的目的、意义、内容及办法；充分利用新闻媒体，加强对有关政策的宣传，积极营造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商贸业提质扩容工作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浓厚氛围。</w:t>
      </w:r>
    </w:p>
    <w:p>
      <w:pPr>
        <w:pStyle w:val="2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分离企业认定：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辖区内制造业企业投资设立的独立法人企业（制造业企业或其大股东、实际控股人在新公司股份比例占51%以上，多个主体联合投资的企业参照执行），企业类型为批发业或者零售业，销售产品种类以原企业产品及其相关产业链产品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2.扶持政策奖励资金不受地方综合贡献度总量控制，可继续享受区内其他不同类别的政策，与上级政策或现有政策有重复、交叉的，按“从高、从优、不重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复”的原则执行；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3.建贸分离企业参照执行，商商分离企业奖励参照减半；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4.奖补政策自2023年1月1日起开始试行，试行3年。</w:t>
      </w:r>
    </w:p>
    <w:p>
      <w:pPr>
        <w:pStyle w:val="4"/>
        <w:spacing w:before="0" w:beforeAutospacing="0" w:after="0" w:afterAutospacing="0" w:line="570" w:lineRule="atLeast"/>
        <w:ind w:firstLine="64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5.本实施意见由区商务局会同区经信局和区财政局负责解释。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DNiNzU5ZTM5Y2M1MDIxOGJiNzc0YWI3MDZiZTEifQ=="/>
  </w:docVars>
  <w:rsids>
    <w:rsidRoot w:val="6BF056ED"/>
    <w:rsid w:val="08BD544F"/>
    <w:rsid w:val="6BF056ED"/>
    <w:rsid w:val="70E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tabs>
        <w:tab w:val="left" w:pos="3380"/>
      </w:tabs>
      <w:jc w:val="center"/>
    </w:pPr>
    <w:rPr>
      <w:b/>
      <w:bCs/>
      <w:spacing w:val="-20"/>
      <w:sz w:val="36"/>
      <w:szCs w:val="36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宋体" w:hAnsi="宋体" w:cs="宋体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text-ta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2016</Words>
  <Characters>2075</Characters>
  <Lines>0</Lines>
  <Paragraphs>0</Paragraphs>
  <TotalTime>0</TotalTime>
  <ScaleCrop>false</ScaleCrop>
  <LinksUpToDate>false</LinksUpToDate>
  <CharactersWithSpaces>2075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2023-03-17T07:32:00Z</dcterms:created>
  <dc:creator>陈欢</dc:creator>
  <cp:lastModifiedBy>时空吴</cp:lastModifiedBy>
  <dcterms:modified xsi:type="dcterms:W3CDTF">2023-03-17T07:57:24Z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609897FE331A418088816E0B11DE154D</vt:lpwstr>
  </property>
</Properties>
</file>