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本级第一批企业行政合规指导清单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根据《市政府第六次全体会议重点工作责任分解方案》的要求，为提高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企业合规意识，预防企业违法违规风险，进一步优化营商环境，推动经济社会高质量发展，市司法局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、市工商联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市公安局、市财政局、市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资规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局、市生态环境局、市交通运输局、市水利局、市农业农村局、市文广旅游局、市市场监管局、市医保局等单位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聚焦高频多发违法行为，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制了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金华市本级第一批企业行政合规指导清单》</w:t>
      </w:r>
      <w:r>
        <w:rPr>
          <w:rFonts w:hint="eastAsia" w:ascii="Times New Roman" w:hAnsi="仿宋_GB2312" w:eastAsia="仿宋_GB2312" w:cs="仿宋_GB2312"/>
          <w:sz w:val="32"/>
          <w:szCs w:val="32"/>
        </w:rPr>
        <w:t>（以下简称《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清单</w:t>
      </w:r>
      <w:r>
        <w:rPr>
          <w:rFonts w:hint="eastAsia" w:ascii="Times New Roman" w:hAnsi="仿宋_GB2312" w:eastAsia="仿宋_GB2312" w:cs="仿宋_GB2312"/>
          <w:sz w:val="32"/>
          <w:szCs w:val="32"/>
        </w:rPr>
        <w:t>》），</w:t>
      </w:r>
      <w:r>
        <w:rPr>
          <w:rFonts w:hint="eastAsia" w:ascii="Times New Roman" w:hAnsi="Times New Roman" w:eastAsia="仿宋_GB2312"/>
          <w:sz w:val="32"/>
          <w:szCs w:val="32"/>
        </w:rPr>
        <w:t>起草说明如下：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一、制订背景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今年年初，中共金华市第八次党代会提出了建设营商环境标杆市的目标。《市政府第六次全体会议重点工作责任分解方案》和市委八届二次全体（扩大）会议重点工作中均明确要力推涉企行政合规激励制度，开展涉企行政合规激励试点，试行企业合规减轻、从轻行政处罚清单。今年，市司法局在浦江县开展首例行政合规案例试点，得到了邢志宏市长的高度肯定，按照继续探索，深入推进改革工作，形成更多可复制、可推广的实践案例和制度成果的要求，我们征集重点部门拟制了第一批《清单》，提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企业合规意识，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进一步优化我市的营商环境。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制订</w:t>
      </w:r>
      <w:r>
        <w:rPr>
          <w:rFonts w:eastAsia="黑体"/>
          <w:sz w:val="32"/>
          <w:szCs w:val="32"/>
        </w:rPr>
        <w:t>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今年3月下旬，市司法局向市直相关单位印发了《关于编制企业行政合规指导清单的通知》，明确了编制《清单》的指导思想、工作目标和相关工作要求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截至7月底，共收到市教育局、市公安局、市财政局、市资规局、市生态环境局、市住建局、市交通运输局、市水利局、市农业农村局、市文广旅游局、市市场监管局和市医保局等12家单位拟制的指导清单146项。为进一步梳理清单和完善合规程序，8月中旬，我们在上半年清单拟制的基础上，召开了企业行政合规激励制度清单编制工作会议，组织上述12家单位对清单事项进行鉴别分类，最终拟定了市公安局、市财政局、市资规局、市生态环境局、市交通运输局、市水利局、市农业农村局、市文广旅游局、市市场监管局和市医保局等10个部门106项清单。接下来，拟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》在金华市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司法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局网站公开向社会征求意见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合法性审查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经集体讨论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eastAsia="黑体"/>
          <w:snapToGrid w:val="0"/>
          <w:spacing w:val="-4"/>
          <w:kern w:val="0"/>
          <w:sz w:val="32"/>
        </w:rPr>
      </w:pPr>
      <w:r>
        <w:rPr>
          <w:rFonts w:eastAsia="黑体"/>
          <w:snapToGrid w:val="0"/>
          <w:spacing w:val="-4"/>
          <w:kern w:val="0"/>
          <w:sz w:val="32"/>
        </w:rPr>
        <w:t>三、</w:t>
      </w:r>
      <w:r>
        <w:rPr>
          <w:rFonts w:hint="eastAsia" w:eastAsia="黑体"/>
          <w:snapToGrid w:val="0"/>
          <w:spacing w:val="-4"/>
          <w:kern w:val="0"/>
          <w:sz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清单》主要内容为企业常见违法行为表现、市级指导部门（机构/处室）及对应的合规建议、合规分类（程序）等。共分三类：第一类为首违或轻微违法免罚清单，行政合规可以采用告知承诺等或本系统规定的其他简易程序；第二类为一般违法依法可以减轻处罚清单，行政合规时建议采用听证和集体讨论的程序；第三类为吊销执照、停产停业、责令关闭等较重的行政处罚，在行政合规时，建议参考刑事合规做法，需要经过听证、第三方专家评估、集体研究决策等程序方可减轻处罚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zljY2EwYTBkOTAwODUyODY5OTY5MTQwMDM2OTIifQ=="/>
  </w:docVars>
  <w:rsids>
    <w:rsidRoot w:val="66AC7270"/>
    <w:rsid w:val="00030A42"/>
    <w:rsid w:val="000E51F5"/>
    <w:rsid w:val="003173F5"/>
    <w:rsid w:val="00725F7F"/>
    <w:rsid w:val="008C7645"/>
    <w:rsid w:val="0094342D"/>
    <w:rsid w:val="00B800C1"/>
    <w:rsid w:val="00C72A7F"/>
    <w:rsid w:val="00CE76A3"/>
    <w:rsid w:val="0230549F"/>
    <w:rsid w:val="06500E18"/>
    <w:rsid w:val="09A20B09"/>
    <w:rsid w:val="0DCC0AFA"/>
    <w:rsid w:val="100F76F7"/>
    <w:rsid w:val="17735EDA"/>
    <w:rsid w:val="188151A2"/>
    <w:rsid w:val="19A70AED"/>
    <w:rsid w:val="201422BF"/>
    <w:rsid w:val="22BC1652"/>
    <w:rsid w:val="23A12358"/>
    <w:rsid w:val="270A1394"/>
    <w:rsid w:val="2714390F"/>
    <w:rsid w:val="29993537"/>
    <w:rsid w:val="2BBE496F"/>
    <w:rsid w:val="2BDE20B4"/>
    <w:rsid w:val="2FDF528C"/>
    <w:rsid w:val="35CA0C4B"/>
    <w:rsid w:val="3F451A89"/>
    <w:rsid w:val="3F7F0EAB"/>
    <w:rsid w:val="3FF7305D"/>
    <w:rsid w:val="41065CB3"/>
    <w:rsid w:val="428952A7"/>
    <w:rsid w:val="43E317BF"/>
    <w:rsid w:val="44726764"/>
    <w:rsid w:val="47BF3E1A"/>
    <w:rsid w:val="4ACE7A6F"/>
    <w:rsid w:val="4BA070FD"/>
    <w:rsid w:val="4FE3880D"/>
    <w:rsid w:val="52232D0E"/>
    <w:rsid w:val="53C402D2"/>
    <w:rsid w:val="53DE2BB3"/>
    <w:rsid w:val="558861CD"/>
    <w:rsid w:val="573472EB"/>
    <w:rsid w:val="5A6D6B0C"/>
    <w:rsid w:val="5C243036"/>
    <w:rsid w:val="5CF33E85"/>
    <w:rsid w:val="5E1123DC"/>
    <w:rsid w:val="5E3D4094"/>
    <w:rsid w:val="5FDF3947"/>
    <w:rsid w:val="5FF6E321"/>
    <w:rsid w:val="60360B6B"/>
    <w:rsid w:val="613831F3"/>
    <w:rsid w:val="623467D8"/>
    <w:rsid w:val="62C3017A"/>
    <w:rsid w:val="650D6AD8"/>
    <w:rsid w:val="65185159"/>
    <w:rsid w:val="66AC7270"/>
    <w:rsid w:val="6A5126D2"/>
    <w:rsid w:val="6D535020"/>
    <w:rsid w:val="737C5D57"/>
    <w:rsid w:val="747F0670"/>
    <w:rsid w:val="77E7D8EC"/>
    <w:rsid w:val="77FB0C50"/>
    <w:rsid w:val="78637525"/>
    <w:rsid w:val="7CFEF50F"/>
    <w:rsid w:val="7E7FD94C"/>
    <w:rsid w:val="7FFA3A8D"/>
    <w:rsid w:val="EDF231B1"/>
    <w:rsid w:val="EFBD03CA"/>
    <w:rsid w:val="FE3F9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200" w:firstLineChars="200"/>
    </w:pPr>
    <w:rPr>
      <w:rFonts w:ascii="Times New Roman" w:hAnsi="Times New Roman" w:eastAsia="宋体" w:cs="Times New Roman"/>
      <w:sz w:val="21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公文正文 字符"/>
    <w:basedOn w:val="9"/>
    <w:link w:val="13"/>
    <w:qFormat/>
    <w:locked/>
    <w:uiPriority w:val="99"/>
    <w:rPr>
      <w:rFonts w:ascii="Calibri" w:hAnsi="Calibri" w:eastAsia="仿宋_GB2312"/>
      <w:kern w:val="2"/>
      <w:sz w:val="32"/>
    </w:rPr>
  </w:style>
  <w:style w:type="paragraph" w:customStyle="1" w:styleId="13">
    <w:name w:val="公文正文"/>
    <w:basedOn w:val="1"/>
    <w:link w:val="12"/>
    <w:qFormat/>
    <w:uiPriority w:val="99"/>
    <w:pPr>
      <w:spacing w:line="298" w:lineRule="auto"/>
      <w:ind w:firstLine="200" w:firstLineChars="200"/>
    </w:pPr>
    <w:rPr>
      <w:rFonts w:ascii="Calibri" w:hAnsi="Calibri" w:eastAsia="仿宋_GB2312"/>
      <w:sz w:val="32"/>
    </w:rPr>
  </w:style>
  <w:style w:type="paragraph" w:customStyle="1" w:styleId="14">
    <w:name w:val="文件"/>
    <w:basedOn w:val="1"/>
    <w:qFormat/>
    <w:uiPriority w:val="0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D:\home\uos\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3</Pages>
  <Words>1478</Words>
  <Characters>1587</Characters>
  <Lines>1</Lines>
  <Paragraphs>4</Paragraphs>
  <TotalTime>22</TotalTime>
  <ScaleCrop>false</ScaleCrop>
  <LinksUpToDate>false</LinksUpToDate>
  <CharactersWithSpaces>1590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2018-08-27T18:08:00Z</dcterms:created>
  <dc:creator>费凡</dc:creator>
  <cp:lastModifiedBy>uos</cp:lastModifiedBy>
  <cp:lastPrinted>2022-09-24T08:23:00Z</cp:lastPrinted>
  <dcterms:modified xsi:type="dcterms:W3CDTF">2022-09-29T10:56:59Z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FDA212B7A32743F0BC386C73C420F0E5</vt:lpwstr>
  </property>
</Properties>
</file>