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eastAsia="黑体"/>
          <w:sz w:val="32"/>
          <w:szCs w:val="32"/>
        </w:rPr>
      </w:pPr>
      <w:r>
        <w:rPr>
          <w:rFonts w:eastAsia="黑体"/>
          <w:sz w:val="32"/>
          <w:szCs w:val="32"/>
        </w:rPr>
        <w:t>附件3</w:t>
      </w:r>
    </w:p>
    <w:p>
      <w:pPr>
        <w:pStyle w:val="77"/>
        <w:spacing w:line="600" w:lineRule="exact"/>
        <w:ind w:firstLineChars="0" w:firstLine="0"/>
        <w:jc w:val="center"/>
        <w:rPr>
          <w:rFonts w:eastAsia="方正小标宋简体"/>
          <w:sz w:val="44"/>
          <w:szCs w:val="44"/>
        </w:rPr>
      </w:pPr>
      <w:r>
        <w:rPr>
          <w:rFonts w:eastAsia="方正小标宋简体"/>
          <w:sz w:val="44"/>
          <w:szCs w:val="44"/>
        </w:rPr>
        <w:t>金东区江东镇、岭下镇综合行政</w:t>
      </w:r>
    </w:p>
    <w:p>
      <w:pPr>
        <w:pStyle w:val="77"/>
        <w:spacing w:line="600" w:lineRule="exact"/>
        <w:ind w:firstLineChars="0" w:firstLine="0"/>
        <w:jc w:val="center"/>
        <w:rPr>
          <w:rFonts w:eastAsia="方正小标宋简体"/>
          <w:sz w:val="44"/>
          <w:szCs w:val="44"/>
        </w:rPr>
      </w:pPr>
      <w:r>
        <w:rPr>
          <w:rFonts w:eastAsia="方正小标宋简体"/>
          <w:sz w:val="44"/>
          <w:szCs w:val="44"/>
        </w:rPr>
        <w:t>执法事项目录（202</w:t>
      </w:r>
      <w:r>
        <w:rPr>
          <w:rFonts w:eastAsia="方正小标宋简体"/>
          <w:sz w:val="44"/>
          <w:szCs w:val="44"/>
          <w:lang w:val="en-US" w:eastAsia="zh-CN"/>
        </w:rPr>
        <w:t>5</w:t>
      </w:r>
      <w:r>
        <w:rPr>
          <w:rFonts w:eastAsia="方正小标宋简体"/>
          <w:sz w:val="44"/>
          <w:szCs w:val="44"/>
        </w:rPr>
        <w:t>年）</w:t>
      </w:r>
    </w:p>
    <w:tbl>
      <w:tblPr>
        <w:jc w:val="center"/>
        <w:tblW w:w="938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71"/>
        <w:gridCol w:w="1758"/>
        <w:gridCol w:w="4087"/>
        <w:gridCol w:w="2664"/>
      </w:tblGrid>
      <w:tr>
        <w:trPr>
          <w:trHeight w:val="691"/>
          <w:tblHeader/>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黑体"/>
                <w:bCs/>
                <w:spacing w:val="-11"/>
                <w:sz w:val="28"/>
                <w:szCs w:val="28"/>
              </w:rPr>
            </w:pPr>
            <w:r>
              <w:rPr>
                <w:rFonts w:eastAsia="黑体"/>
                <w:bCs/>
                <w:spacing w:val="-11"/>
                <w:kern w:val="0"/>
                <w:sz w:val="28"/>
                <w:szCs w:val="28"/>
                <w:lang w:bidi="ar-SA"/>
              </w:rPr>
              <w:t>序号</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黑体"/>
                <w:bCs/>
                <w:spacing w:val="-11"/>
                <w:sz w:val="28"/>
                <w:szCs w:val="28"/>
              </w:rPr>
            </w:pPr>
            <w:r>
              <w:rPr>
                <w:rFonts w:eastAsia="黑体"/>
                <w:bCs/>
                <w:spacing w:val="-11"/>
                <w:kern w:val="0"/>
                <w:sz w:val="28"/>
                <w:szCs w:val="28"/>
                <w:lang w:bidi="ar-SA"/>
              </w:rPr>
              <w:t>事项编码</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黑体"/>
                <w:bCs/>
                <w:spacing w:val="-11"/>
                <w:sz w:val="28"/>
                <w:szCs w:val="28"/>
              </w:rPr>
            </w:pPr>
            <w:r>
              <w:rPr>
                <w:rFonts w:eastAsia="黑体"/>
                <w:bCs/>
                <w:spacing w:val="-11"/>
                <w:kern w:val="0"/>
                <w:sz w:val="28"/>
                <w:szCs w:val="28"/>
                <w:lang w:bidi="ar-SA"/>
              </w:rPr>
              <w:t>事项名称</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黑体"/>
                <w:bCs/>
                <w:spacing w:val="-11"/>
                <w:sz w:val="28"/>
                <w:szCs w:val="28"/>
              </w:rPr>
            </w:pPr>
            <w:r>
              <w:rPr>
                <w:rFonts w:eastAsia="黑体"/>
                <w:bCs/>
                <w:spacing w:val="-11"/>
                <w:kern w:val="0"/>
                <w:sz w:val="28"/>
                <w:szCs w:val="28"/>
                <w:lang w:bidi="ar-SA"/>
              </w:rPr>
              <w:t>赋权范围</w:t>
            </w:r>
          </w:p>
        </w:tc>
      </w:tr>
      <w:tr>
        <w:trPr>
          <w:trHeight w:val="90"/>
        </w:trPr>
        <w:tc>
          <w:tcPr>
            <w:tcW w:w="9380"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left"/>
              <w:textAlignment w:val="center"/>
              <w:rPr>
                <w:rFonts w:eastAsia="仿宋_GB2312"/>
                <w:b/>
                <w:spacing w:val="-11"/>
                <w:sz w:val="28"/>
                <w:szCs w:val="28"/>
              </w:rPr>
            </w:pPr>
            <w:r>
              <w:rPr>
                <w:rFonts w:eastAsia="仿宋_GB2312"/>
                <w:b/>
                <w:spacing w:val="-11"/>
                <w:kern w:val="0"/>
                <w:sz w:val="28"/>
                <w:szCs w:val="28"/>
                <w:lang w:bidi="ar-SA"/>
              </w:rPr>
              <w:t>一、自然资源（共4项）</w:t>
            </w:r>
          </w:p>
        </w:tc>
      </w:tr>
      <w:tr>
        <w:trPr>
          <w:trHeight w:val="1528"/>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330215069000</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对在燃气设施保护范围内建设占压地下燃气管线的建筑物、构筑物或者其他设施的行政处罚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部分（没收较大数额违法所得除外）</w:t>
            </w:r>
          </w:p>
        </w:tc>
      </w:tr>
      <w:tr>
        <w:trPr>
          <w:trHeight w:val="90"/>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2</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330215073000</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对房屋使用人擅自改变建设工程规划许可证确定的房屋用途的行政处罚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部分（没收较大数额违法所得除外）</w:t>
            </w:r>
          </w:p>
        </w:tc>
      </w:tr>
      <w:tr>
        <w:trPr>
          <w:trHeight w:val="225"/>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sz w:val="28"/>
                <w:szCs w:val="28"/>
              </w:rPr>
              <w:t>3</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330215067000</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对建设单位或者个人改变临时规划许可确定的建筑用途的行政处罚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225"/>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sz w:val="28"/>
                <w:szCs w:val="28"/>
              </w:rPr>
              <w:t>4</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330215068000</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对建设工程设计、施工单位违规承揽明知是违法建筑的项目设计或者施工作业的行政处罚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部分（没收较大数额违法所得除外）</w:t>
            </w:r>
          </w:p>
        </w:tc>
      </w:tr>
      <w:tr>
        <w:trPr>
          <w:trHeight w:val="90"/>
        </w:trPr>
        <w:tc>
          <w:tcPr>
            <w:tcW w:w="9380"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二、农业农村（共1项）</w:t>
            </w:r>
          </w:p>
        </w:tc>
      </w:tr>
      <w:tr>
        <w:trPr>
          <w:trHeight w:val="373"/>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330220049000</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对在实行城市市容和环境卫生管理的区域外，随意倾倒或者堆放生活垃圾、餐厨垃圾、建筑垃圾等废弃物或者废旧物品的行政处罚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9380"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left"/>
              <w:textAlignment w:val="center"/>
              <w:rPr>
                <w:rFonts w:eastAsia="仿宋_GB2312"/>
                <w:b/>
                <w:spacing w:val="-11"/>
                <w:sz w:val="28"/>
                <w:szCs w:val="28"/>
              </w:rPr>
            </w:pPr>
            <w:r>
              <w:rPr>
                <w:rFonts w:eastAsia="仿宋_GB2312"/>
                <w:b/>
                <w:spacing w:val="-11"/>
                <w:kern w:val="0"/>
                <w:sz w:val="28"/>
                <w:szCs w:val="28"/>
                <w:lang w:bidi="ar-SA"/>
              </w:rPr>
              <w:t>三、建设（共14项）</w:t>
            </w:r>
          </w:p>
        </w:tc>
      </w:tr>
      <w:tr>
        <w:trPr>
          <w:trHeight w:val="151"/>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330217216000 </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textAlignment w:val="center"/>
              <w:rPr>
                <w:rFonts w:eastAsia="仿宋_GB2312"/>
                <w:spacing w:val="-11"/>
                <w:sz w:val="28"/>
                <w:szCs w:val="28"/>
              </w:rPr>
            </w:pPr>
            <w:r>
              <w:rPr>
                <w:rFonts w:eastAsia="仿宋_GB2312"/>
                <w:spacing w:val="-11"/>
                <w:kern w:val="0"/>
                <w:sz w:val="28"/>
                <w:szCs w:val="28"/>
                <w:lang w:bidi="ar-SA"/>
              </w:rPr>
              <w:t>对单位和个人未按规定分类投放生活垃圾的行政处罚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225"/>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2</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330217F62003</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textAlignment w:val="center"/>
              <w:rPr>
                <w:rFonts w:eastAsia="仿宋_GB2312"/>
                <w:spacing w:val="-11"/>
                <w:sz w:val="28"/>
                <w:szCs w:val="28"/>
              </w:rPr>
            </w:pPr>
            <w:r>
              <w:rPr>
                <w:rFonts w:eastAsia="仿宋_GB2312"/>
                <w:spacing w:val="-11"/>
                <w:kern w:val="0"/>
                <w:sz w:val="28"/>
                <w:szCs w:val="28"/>
                <w:lang w:bidi="ar-SA"/>
              </w:rPr>
              <w:t>(金华)对未自备垃圾分类收集容器，未能保持摊架、摊棚和地面清洁的行政处罚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51"/>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3</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330217197006 </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textAlignment w:val="center"/>
              <w:rPr>
                <w:rFonts w:eastAsia="仿宋_GB2312"/>
                <w:spacing w:val="-11"/>
                <w:sz w:val="28"/>
                <w:szCs w:val="28"/>
              </w:rPr>
            </w:pPr>
            <w:r>
              <w:rPr>
                <w:rFonts w:eastAsia="仿宋_GB2312"/>
                <w:spacing w:val="-11"/>
                <w:kern w:val="0"/>
                <w:sz w:val="28"/>
                <w:szCs w:val="28"/>
                <w:lang w:bidi="ar-SA"/>
              </w:rPr>
              <w:t>对乱倒生活垃圾、污水、粪便的行政处罚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225"/>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4</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330217197005 </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textAlignment w:val="center"/>
              <w:rPr>
                <w:rFonts w:eastAsia="仿宋_GB2312"/>
                <w:spacing w:val="-11"/>
                <w:sz w:val="28"/>
                <w:szCs w:val="28"/>
              </w:rPr>
            </w:pPr>
            <w:r>
              <w:rPr>
                <w:rFonts w:eastAsia="仿宋_GB2312"/>
                <w:spacing w:val="-11"/>
                <w:kern w:val="0"/>
                <w:sz w:val="28"/>
                <w:szCs w:val="28"/>
                <w:lang w:bidi="ar-SA"/>
              </w:rPr>
              <w:t>对乱扔果皮、纸屑、烟蒂、饮料罐、口香糖、塑料袋等废弃物的行政处罚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225"/>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5</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330217168000 </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textAlignment w:val="center"/>
              <w:rPr>
                <w:rFonts w:eastAsia="仿宋_GB2312"/>
                <w:spacing w:val="-11"/>
                <w:sz w:val="28"/>
                <w:szCs w:val="28"/>
              </w:rPr>
            </w:pPr>
            <w:r>
              <w:rPr>
                <w:rFonts w:eastAsia="仿宋_GB2312"/>
                <w:spacing w:val="-11"/>
                <w:kern w:val="0"/>
                <w:sz w:val="28"/>
                <w:szCs w:val="28"/>
                <w:lang w:bidi="ar-SA"/>
              </w:rPr>
              <w:t>对生活垃圾分类投放管理责任人未履行生活垃圾分类投放管理责任的行政处罚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225"/>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6</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330217267000 </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textAlignment w:val="center"/>
              <w:rPr>
                <w:rFonts w:eastAsia="仿宋_GB2312"/>
                <w:spacing w:val="-11"/>
                <w:sz w:val="28"/>
                <w:szCs w:val="28"/>
              </w:rPr>
            </w:pPr>
            <w:r>
              <w:rPr>
                <w:rFonts w:eastAsia="仿宋_GB2312"/>
                <w:spacing w:val="-11"/>
                <w:kern w:val="0"/>
                <w:sz w:val="28"/>
                <w:szCs w:val="28"/>
                <w:lang w:bidi="ar-SA"/>
              </w:rPr>
              <w:t>对生活垃圾收集、运输单位对分类投放的生活垃圾混合收集、运输的行政处罚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51"/>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7</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330217F50002</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textAlignment w:val="center"/>
              <w:rPr>
                <w:rFonts w:eastAsia="仿宋_GB2312"/>
                <w:spacing w:val="-11"/>
                <w:sz w:val="28"/>
                <w:szCs w:val="28"/>
              </w:rPr>
            </w:pPr>
            <w:r>
              <w:rPr>
                <w:rFonts w:eastAsia="仿宋_GB2312"/>
                <w:spacing w:val="-11"/>
                <w:kern w:val="0"/>
                <w:sz w:val="28"/>
                <w:szCs w:val="28"/>
                <w:lang w:bidi="ar-SA"/>
              </w:rPr>
              <w:t>(金华)对绿地内行驶停放车辆、野炊烧烤、饲养家禽、放牧的行政处罚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51"/>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8</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330217F50003</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(金华)对公园绿地水域内洗衣物和在禁钓区垂钓的行政处罚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51"/>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9</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330217138002</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对在绿地内放牧、堆物、倾倒废弃物的行政处罚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51"/>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10</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330217222005</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对在不具备安全条件的场所使用、储存燃气的行政处罚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51"/>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11</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330217222008</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对燃气燃烧器具的安装、维修不符合国家有关标准的行政处罚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225"/>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12</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330217142004</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对加热、摔砸、倒卧、曝晒燃气气瓶或者改换气瓶检验标志、漆色的行为的行政处罚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51"/>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13</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330217156000</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对在露天场所和垃圾收集容器内焚烧树叶、垃圾或者其他废弃物的行政处罚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225"/>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14</w:t>
            </w:r>
          </w:p>
        </w:tc>
        <w:tc>
          <w:tcPr>
            <w:tcW w:w="1758" w:type="dxa"/>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330217454000</w:t>
            </w:r>
          </w:p>
        </w:tc>
        <w:tc>
          <w:tcPr>
            <w:tcW w:w="4087" w:type="dxa"/>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对擅自在街道两侧和公共场地堆放物料，搭建建筑物、构筑物或其他设施的行政处罚</w:t>
            </w:r>
          </w:p>
        </w:tc>
        <w:tc>
          <w:tcPr>
            <w:tcW w:w="2664" w:type="dxa"/>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9380"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四、生态环境（共2项）</w:t>
            </w:r>
          </w:p>
        </w:tc>
      </w:tr>
      <w:tr>
        <w:trPr>
          <w:trHeight w:val="151"/>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330216277002</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对露天焚烧秸秆、落叶等产生烟尘污染物质的行政处罚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225"/>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2</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330216282000</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对违法在人口集中和其他需特殊保护区域焚烧产生有毒有害烟尘和恶臭气体的行政处罚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0"/>
        </w:trPr>
        <w:tc>
          <w:tcPr>
            <w:tcW w:w="9380"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五、消防救援（共6项）</w:t>
            </w:r>
          </w:p>
        </w:tc>
      </w:tr>
      <w:tr>
        <w:trPr>
          <w:trHeight w:val="299"/>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330295022001 </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textAlignment w:val="center"/>
              <w:rPr>
                <w:rFonts w:eastAsia="仿宋_GB2312"/>
                <w:spacing w:val="-11"/>
                <w:sz w:val="28"/>
                <w:szCs w:val="28"/>
              </w:rPr>
            </w:pPr>
            <w:r>
              <w:rPr>
                <w:rFonts w:eastAsia="仿宋_GB2312"/>
                <w:spacing w:val="-11"/>
                <w:kern w:val="0"/>
                <w:sz w:val="28"/>
                <w:szCs w:val="28"/>
                <w:lang w:bidi="ar-SA"/>
              </w:rPr>
              <w:t>对占用、堵塞、封闭城市道路上的消防车通道的行政处罚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center"/>
              <w:textAlignment w:val="center"/>
              <w:rPr>
                <w:rFonts w:eastAsia="仿宋_GB2312"/>
                <w:spacing w:val="-11"/>
                <w:sz w:val="28"/>
                <w:szCs w:val="28"/>
              </w:rPr>
            </w:pPr>
            <w:r>
              <w:rPr>
                <w:rFonts w:eastAsia="仿宋_GB2312"/>
                <w:spacing w:val="-11"/>
                <w:kern w:val="0"/>
                <w:sz w:val="28"/>
                <w:szCs w:val="28"/>
                <w:lang w:bidi="ar-SA"/>
              </w:rPr>
              <w:t>部分（划转对占用、堵塞、封闭城市道路上的消防车通道的行政处罚事项）</w:t>
            </w:r>
          </w:p>
        </w:tc>
      </w:tr>
      <w:tr>
        <w:trPr>
          <w:trHeight w:val="595"/>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2</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330295024001 </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textAlignment w:val="center"/>
              <w:rPr>
                <w:rFonts w:eastAsia="仿宋_GB2312"/>
                <w:spacing w:val="-11"/>
                <w:sz w:val="28"/>
                <w:szCs w:val="28"/>
              </w:rPr>
            </w:pPr>
            <w:r>
              <w:rPr>
                <w:rFonts w:eastAsia="仿宋_GB2312"/>
                <w:spacing w:val="-11"/>
                <w:kern w:val="0"/>
                <w:sz w:val="28"/>
                <w:szCs w:val="28"/>
                <w:lang w:bidi="ar-SA"/>
              </w:rPr>
              <w:t>对沿城市道路的人员密集场所门窗设置影响逃生、灭火救援的障碍物的行政处罚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center"/>
              <w:textAlignment w:val="center"/>
              <w:rPr>
                <w:rFonts w:eastAsia="仿宋_GB2312"/>
                <w:spacing w:val="-11"/>
                <w:sz w:val="28"/>
                <w:szCs w:val="28"/>
              </w:rPr>
            </w:pPr>
            <w:r>
              <w:rPr>
                <w:rFonts w:eastAsia="仿宋_GB2312"/>
                <w:spacing w:val="-11"/>
                <w:kern w:val="0"/>
                <w:sz w:val="28"/>
                <w:szCs w:val="28"/>
                <w:lang w:bidi="ar-SA"/>
              </w:rPr>
              <w:t>部分（划转对沿城市道路的人员密集场所沿城市道路的人员密集场所门窗设置影响逃生、灭火救援的障碍物的行政处罚事项）</w:t>
            </w:r>
          </w:p>
        </w:tc>
      </w:tr>
      <w:tr>
        <w:trPr>
          <w:trHeight w:val="1273"/>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3</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330295018000 </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textAlignment w:val="center"/>
              <w:rPr>
                <w:rFonts w:eastAsia="仿宋_GB2312"/>
                <w:spacing w:val="-11"/>
                <w:sz w:val="28"/>
                <w:szCs w:val="28"/>
              </w:rPr>
            </w:pPr>
            <w:r>
              <w:rPr>
                <w:rFonts w:eastAsia="仿宋_GB2312"/>
                <w:spacing w:val="-11"/>
                <w:kern w:val="0"/>
                <w:sz w:val="28"/>
                <w:szCs w:val="28"/>
                <w:lang w:bidi="ar-SA"/>
              </w:rPr>
              <w:t>对建筑物外墙装修装饰、建筑屋面使用及广告牌的设置影响防火、逃生的行政处罚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640"/>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4</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330295060001 </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textAlignment w:val="center"/>
              <w:rPr>
                <w:rFonts w:eastAsia="仿宋_GB2312"/>
                <w:spacing w:val="-11"/>
                <w:sz w:val="28"/>
                <w:szCs w:val="28"/>
              </w:rPr>
            </w:pPr>
            <w:r>
              <w:rPr>
                <w:rFonts w:eastAsia="仿宋_GB2312"/>
                <w:spacing w:val="-11"/>
                <w:kern w:val="0"/>
                <w:sz w:val="28"/>
                <w:szCs w:val="28"/>
                <w:lang w:bidi="ar-SA"/>
              </w:rPr>
              <w:t>对私拉电线和插座给电动车充电的行政处罚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center"/>
              <w:textAlignment w:val="center"/>
              <w:rPr>
                <w:rFonts w:eastAsia="仿宋_GB2312"/>
                <w:spacing w:val="-11"/>
                <w:sz w:val="28"/>
                <w:szCs w:val="28"/>
              </w:rPr>
            </w:pPr>
            <w:r>
              <w:rPr>
                <w:rFonts w:eastAsia="仿宋_GB2312"/>
                <w:spacing w:val="-11"/>
                <w:kern w:val="0"/>
                <w:sz w:val="28"/>
                <w:szCs w:val="28"/>
                <w:lang w:bidi="ar-SA"/>
              </w:rPr>
              <w:t>部分（划转对在城市道路上在城市道路上私拉电线和插座给电动车充电的行政处罚事项）</w:t>
            </w:r>
          </w:p>
        </w:tc>
      </w:tr>
      <w:tr>
        <w:trPr>
          <w:trHeight w:val="151"/>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5</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330295016001 </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textAlignment w:val="center"/>
              <w:rPr>
                <w:rFonts w:eastAsia="仿宋_GB2312"/>
                <w:spacing w:val="-11"/>
                <w:sz w:val="28"/>
                <w:szCs w:val="28"/>
              </w:rPr>
            </w:pPr>
            <w:r>
              <w:rPr>
                <w:rFonts w:eastAsia="仿宋_GB2312"/>
                <w:spacing w:val="-11"/>
                <w:kern w:val="0"/>
                <w:sz w:val="28"/>
                <w:szCs w:val="28"/>
                <w:lang w:bidi="ar-SA"/>
              </w:rPr>
              <w:t>对占用、堵塞、封闭城市道路上的消防登高场地的行政处罚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center"/>
              <w:textAlignment w:val="center"/>
              <w:rPr>
                <w:rFonts w:eastAsia="仿宋_GB2312"/>
                <w:spacing w:val="-11"/>
                <w:sz w:val="28"/>
                <w:szCs w:val="28"/>
              </w:rPr>
            </w:pPr>
            <w:r>
              <w:rPr>
                <w:rFonts w:eastAsia="仿宋_GB2312"/>
                <w:spacing w:val="-11"/>
                <w:kern w:val="0"/>
                <w:sz w:val="28"/>
                <w:szCs w:val="28"/>
                <w:lang w:bidi="ar-SA"/>
              </w:rPr>
              <w:t>部分（划转对占用、堵塞、封闭城市道路上的消防登高场地的行政处罚事项）</w:t>
            </w:r>
          </w:p>
        </w:tc>
      </w:tr>
      <w:tr>
        <w:trPr>
          <w:trHeight w:val="1228"/>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6</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40" w:lineRule="exact"/>
              <w:jc w:val="center"/>
              <w:textAlignment w:val="center"/>
              <w:rPr>
                <w:rFonts w:ascii="Times New Roman" w:eastAsia="仿宋_GB2312" w:cs="Times New Roman" w:hAnsi="Times New Roman"/>
                <w:spacing w:val="-11"/>
                <w:kern w:val="0"/>
                <w:sz w:val="28"/>
                <w:szCs w:val="28"/>
                <w:lang w:val="en-US" w:eastAsia="zh-CN" w:bidi="ar-SA"/>
              </w:rPr>
            </w:pPr>
            <w:r>
              <w:rPr>
                <w:rFonts w:ascii="Times New Roman" w:eastAsia="仿宋_GB2312" w:cs="Times New Roman" w:hAnsi="Times New Roman"/>
                <w:spacing w:val="-11"/>
                <w:kern w:val="0"/>
                <w:sz w:val="28"/>
                <w:szCs w:val="28"/>
                <w:lang w:val="en-US" w:eastAsia="zh-CN" w:bidi="ar-SA"/>
              </w:rPr>
              <w:t>330295062000</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40" w:lineRule="exact"/>
              <w:textAlignment w:val="center"/>
              <w:rPr>
                <w:rFonts w:ascii="Times New Roman" w:eastAsia="仿宋_GB2312" w:cs="Times New Roman" w:hAnsi="Times New Roman"/>
                <w:spacing w:val="-11"/>
                <w:kern w:val="0"/>
                <w:sz w:val="28"/>
                <w:szCs w:val="28"/>
                <w:lang w:val="en-US" w:eastAsia="zh-CN" w:bidi="ar-SA"/>
              </w:rPr>
            </w:pPr>
            <w:r>
              <w:rPr>
                <w:rFonts w:ascii="Times New Roman" w:eastAsia="仿宋_GB2312" w:cs="Times New Roman" w:hAnsi="Times New Roman"/>
                <w:spacing w:val="-11"/>
                <w:kern w:val="0"/>
                <w:sz w:val="28"/>
                <w:szCs w:val="28"/>
                <w:lang w:val="en-US" w:eastAsia="zh-CN" w:bidi="ar-SA"/>
              </w:rPr>
              <w:t>对在疏散通道、安全出口、楼梯间停放电动车的行政处罚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40" w:lineRule="exact"/>
              <w:jc w:val="center"/>
              <w:textAlignment w:val="center"/>
              <w:rPr>
                <w:rFonts w:ascii="Times New Roman" w:eastAsia="仿宋_GB2312" w:cs="Times New Roman" w:hAnsi="Times New Roman"/>
                <w:spacing w:val="-11"/>
                <w:kern w:val="0"/>
                <w:sz w:val="28"/>
                <w:szCs w:val="28"/>
                <w:lang w:val="en-US" w:eastAsia="zh-CN" w:bidi="ar-SA"/>
              </w:rPr>
            </w:pPr>
            <w:r>
              <w:rPr>
                <w:rFonts w:ascii="Times New Roman" w:eastAsia="仿宋_GB2312" w:cs="Times New Roman" w:hAnsi="Times New Roman"/>
                <w:spacing w:val="-11"/>
                <w:kern w:val="0"/>
                <w:sz w:val="28"/>
                <w:szCs w:val="28"/>
                <w:lang w:val="en-US" w:eastAsia="zh-CN" w:bidi="ar-SA"/>
              </w:rPr>
              <w:t>全部</w:t>
            </w:r>
          </w:p>
        </w:tc>
      </w:tr>
      <w:tr>
        <w:trPr>
          <w:trHeight w:val="90"/>
        </w:trPr>
        <w:tc>
          <w:tcPr>
            <w:tcW w:w="9380"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left"/>
              <w:textAlignment w:val="center"/>
              <w:rPr>
                <w:rFonts w:eastAsia="仿宋_GB2312"/>
                <w:b/>
                <w:spacing w:val="-11"/>
                <w:sz w:val="28"/>
                <w:szCs w:val="28"/>
              </w:rPr>
            </w:pPr>
            <w:r>
              <w:rPr>
                <w:rFonts w:eastAsia="仿宋_GB2312"/>
                <w:b/>
                <w:spacing w:val="-11"/>
                <w:kern w:val="0"/>
                <w:sz w:val="28"/>
                <w:szCs w:val="28"/>
                <w:lang w:bidi="ar-SA"/>
              </w:rPr>
              <w:t>六、市场监管(共1项）</w:t>
            </w:r>
          </w:p>
        </w:tc>
      </w:tr>
      <w:tr>
        <w:trPr>
          <w:trHeight w:val="153"/>
        </w:trPr>
        <w:tc>
          <w:tcPr>
            <w:tcW w:w="87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center"/>
              <w:textAlignment w:val="center"/>
              <w:rPr>
                <w:rFonts w:eastAsia="仿宋_GB2312"/>
                <w:spacing w:val="-11"/>
                <w:sz w:val="28"/>
                <w:szCs w:val="28"/>
              </w:rPr>
            </w:pPr>
            <w:r>
              <w:rPr>
                <w:rFonts w:eastAsia="仿宋_GB2312"/>
                <w:spacing w:val="-11"/>
                <w:kern w:val="0"/>
                <w:sz w:val="28"/>
                <w:szCs w:val="28"/>
                <w:lang w:bidi="ar-SA"/>
              </w:rPr>
              <w:t xml:space="preserve">1 </w:t>
            </w:r>
          </w:p>
        </w:tc>
        <w:tc>
          <w:tcPr>
            <w:tcW w:w="175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center"/>
              <w:textAlignment w:val="center"/>
              <w:rPr>
                <w:rFonts w:eastAsia="仿宋_GB2312"/>
                <w:spacing w:val="-11"/>
                <w:sz w:val="28"/>
                <w:szCs w:val="28"/>
              </w:rPr>
            </w:pPr>
            <w:r>
              <w:rPr>
                <w:rFonts w:eastAsia="仿宋_GB2312"/>
                <w:spacing w:val="-11"/>
                <w:kern w:val="0"/>
                <w:sz w:val="28"/>
                <w:szCs w:val="28"/>
                <w:lang w:bidi="ar-SA"/>
              </w:rPr>
              <w:t>330231076001</w:t>
            </w:r>
          </w:p>
        </w:tc>
        <w:tc>
          <w:tcPr>
            <w:tcW w:w="40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left"/>
              <w:textAlignment w:val="center"/>
              <w:rPr>
                <w:rFonts w:eastAsia="仿宋_GB2312"/>
                <w:spacing w:val="-11"/>
                <w:sz w:val="28"/>
                <w:szCs w:val="28"/>
              </w:rPr>
            </w:pPr>
            <w:r>
              <w:rPr>
                <w:rFonts w:eastAsia="仿宋_GB2312"/>
                <w:spacing w:val="-11"/>
                <w:kern w:val="0"/>
                <w:sz w:val="28"/>
                <w:szCs w:val="28"/>
                <w:lang w:bidi="ar-SA"/>
              </w:rPr>
              <w:t>对在室外公共场所无照经营的行政处罚</w:t>
            </w:r>
          </w:p>
        </w:tc>
        <w:tc>
          <w:tcPr>
            <w:tcW w:w="26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60" w:lineRule="exact"/>
              <w:jc w:val="center"/>
              <w:textAlignment w:val="center"/>
              <w:rPr>
                <w:rFonts w:eastAsia="仿宋_GB2312"/>
                <w:spacing w:val="-11"/>
                <w:sz w:val="28"/>
                <w:szCs w:val="28"/>
              </w:rPr>
            </w:pPr>
            <w:r>
              <w:rPr>
                <w:rFonts w:eastAsia="仿宋_GB2312"/>
                <w:spacing w:val="-11"/>
                <w:kern w:val="0"/>
                <w:sz w:val="28"/>
                <w:szCs w:val="28"/>
                <w:lang w:bidi="ar-SA"/>
              </w:rPr>
              <w:t>部分（没收较大数额违法所得除外）</w:t>
            </w:r>
          </w:p>
        </w:tc>
      </w:tr>
    </w:tbl>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0000000000000000000"/>
    <w:charset w:val="00"/>
    <w:family w:val="script"/>
    <w:pitch w:val="variable"/>
    <w:sig w:usb0="00000000" w:usb1="00000000" w:usb2="00000000" w:usb3="00000000" w:csb0="00000000"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方正兰亭黑_GBK"/>
    <w:panose1 w:val="02010600030101010101"/>
    <w:charset w:val="86"/>
    <w:family w:val="script"/>
    <w:pitch w:val="variable"/>
    <w:sig w:usb0="00000003" w:usb1="080E0000" w:usb2="00000000"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77">
    <w:name w:val="Body Text First Indent"/>
    <w:basedOn w:val="0"/>
    <w:next w:val="0"/>
    <w:pPr>
      <w:widowControl w:val="0"/>
      <w:ind w:firstLineChars="100" w:firstLine="100"/>
      <w:jc w:val="both"/>
    </w:pPr>
    <w:rPr>
      <w:rFonts w:ascii="Times New Roman" w:eastAsia="宋体" w:cs="Times New Roman" w:hAnsi="Times New Roman"/>
      <w:kern w:val="2"/>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3</Pages>
  <Words>1282</Words>
  <Characters>1599</Characters>
  <Lines>185</Lines>
  <Paragraphs>125</Paragraphs>
  <CharactersWithSpaces>1610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2025-05-07T02:17:30Z</dcterms:created>
  <dcterms:modified xsi:type="dcterms:W3CDTF">2025-05-07T02:18:20Z</dcterms:modified>
</cp:coreProperties>
</file>