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lang w:eastAsia="zh-CN"/>
        </w:rPr>
        <w:t>拟提升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县文物保护点简介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Calibri" w:eastAsia="宋体"/>
          <w:sz w:val="24"/>
          <w:szCs w:val="24"/>
          <w:lang w:val="en-US" w:eastAsia="zh-CN"/>
        </w:rPr>
      </w:pPr>
      <w:r>
        <w:rPr>
          <w:rFonts w:hint="eastAsia" w:ascii="Calibri" w:eastAsia="宋体"/>
          <w:sz w:val="24"/>
          <w:szCs w:val="24"/>
          <w:lang w:val="en-US" w:eastAsia="zh-CN"/>
        </w:rPr>
        <w:t>徐诵明故居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Calibri" w:eastAsia="宋体" w:hAnsiTheme="minorHAnsi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eastAsia="宋体" w:hAnsiTheme="minorHAnsi" w:cstheme="minorBidi"/>
          <w:kern w:val="2"/>
          <w:sz w:val="24"/>
          <w:szCs w:val="24"/>
          <w:lang w:val="en-US" w:eastAsia="zh-CN" w:bidi="ar-SA"/>
        </w:rPr>
        <w:t>徐诵明（1890—1991），字轼游，号清来，浙江新昌人，教育家和病理学家，中国现代高等教育和现代医学教育的先驱，中国病理学的开创者和奠基人，在民国时期曾担任五所国立大学校长，长达二十年之久，被誉为大学校长的典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Calibri" w:eastAsia="宋体" w:hAnsiTheme="minorHAnsi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eastAsia="宋体" w:hAnsiTheme="minorHAnsi" w:cstheme="minorBidi"/>
          <w:kern w:val="2"/>
          <w:sz w:val="24"/>
          <w:szCs w:val="24"/>
          <w:lang w:val="en-US" w:eastAsia="zh-CN" w:bidi="ar-SA"/>
        </w:rPr>
        <w:t>徐诵明故居原位于南明街道岙桥里54号，建于清代晚期，现迁建于南明街道</w:t>
      </w:r>
      <w:r>
        <w:rPr>
          <w:rFonts w:hint="eastAsia" w:ascii="Calibri" w:cstheme="minorBidi"/>
          <w:kern w:val="2"/>
          <w:sz w:val="24"/>
          <w:szCs w:val="24"/>
          <w:lang w:val="en-US" w:eastAsia="zh-CN" w:bidi="ar-SA"/>
        </w:rPr>
        <w:t>里江北</w:t>
      </w:r>
      <w:r>
        <w:rPr>
          <w:rFonts w:hint="eastAsia" w:ascii="Calibri" w:eastAsia="宋体" w:hAnsiTheme="minorHAnsi" w:cstheme="minorBidi"/>
          <w:kern w:val="2"/>
          <w:sz w:val="24"/>
          <w:szCs w:val="24"/>
          <w:lang w:val="en-US" w:eastAsia="zh-CN" w:bidi="ar-SA"/>
        </w:rPr>
        <w:t>历史文化街区。故居总体布局为三合院，座楼带左右厢房，左右厢房东山墙之间砌围墙。建筑坐西朝东，南厢房东侧置石库门框，上施砖雕门饰。占地面积约326平方米，建筑面积约433平方米。座楼三开间，立面重檐，重檐施牛腿承托，前廊开敞，檐柱</w:t>
      </w:r>
      <w:r>
        <w:rPr>
          <w:rFonts w:hint="eastAsia" w:ascii="Calibri" w:cstheme="minorBidi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Calibri" w:eastAsia="宋体" w:hAnsiTheme="minorHAnsi" w:cstheme="minorBidi"/>
          <w:kern w:val="2"/>
          <w:sz w:val="24"/>
          <w:szCs w:val="24"/>
          <w:lang w:val="en-US" w:eastAsia="zh-CN" w:bidi="ar-SA"/>
        </w:rPr>
        <w:t>金柱间用穿枋拉接。座楼明间底楼为厅堂，设格扇门六扇，次间槛墙上均立格扇窗六扇。北侧厢面阔三间带一弄，南侧厢</w:t>
      </w:r>
      <w:r>
        <w:rPr>
          <w:rFonts w:hint="eastAsia" w:ascii="Calibri" w:cstheme="minorBidi"/>
          <w:kern w:val="2"/>
          <w:sz w:val="24"/>
          <w:szCs w:val="24"/>
          <w:lang w:val="en-US" w:eastAsia="zh-CN" w:bidi="ar-SA"/>
        </w:rPr>
        <w:t>面阔</w:t>
      </w:r>
      <w:r>
        <w:rPr>
          <w:rFonts w:hint="eastAsia" w:ascii="Calibri" w:eastAsia="宋体" w:hAnsiTheme="minorHAnsi" w:cstheme="minorBidi"/>
          <w:kern w:val="2"/>
          <w:sz w:val="24"/>
          <w:szCs w:val="24"/>
          <w:lang w:val="en-US" w:eastAsia="zh-CN" w:bidi="ar-SA"/>
        </w:rPr>
        <w:t>二间。整组建筑格局完整，木雕、砖雕工艺匠心独运。</w:t>
      </w:r>
    </w:p>
    <w:p>
      <w:bookmarkStart w:id="0" w:name="_GoBack"/>
      <w:bookmarkEnd w:id="0"/>
    </w:p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4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143C4"/>
    <w:rsid w:val="1D102E08"/>
    <w:rsid w:val="6BCB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semiHidden/>
    <w:qFormat/>
    <w:uiPriority w:val="0"/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2023-10-09T07:16:13Z</dcterms:created>
  <dc:creator>Administrator</dc:creator>
  <cp:lastModifiedBy>Administrator</cp:lastModifiedBy>
  <dcterms:modified xsi:type="dcterms:W3CDTF">2023-10-09T07:18:16Z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