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关于健全老年人基本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养老补贴制度通知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各</w:t>
      </w:r>
      <w:r>
        <w:rPr>
          <w:rFonts w:hint="eastAsia" w:ascii="FangSong_GB2312" w:hAnsi="FangSong_GB2312" w:eastAsia="FangSong_GB2312" w:cs="FangSong_GB2312"/>
          <w:spacing w:val="3"/>
          <w:sz w:val="32"/>
          <w:szCs w:val="32"/>
          <w:highlight w:val="none"/>
          <w:lang w:eastAsia="zh-CN"/>
        </w:rPr>
        <w:t>镇街公共服务办公室</w:t>
      </w: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1"/>
        <w:rPr>
          <w:rFonts w:hint="eastAsia" w:ascii="FangSong_GB2312" w:hAnsi="FangSong_GB2312" w:eastAsia="FangSong_GB2312" w:cs="FangSong_GB2312"/>
          <w:spacing w:val="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为健全基本养老服务体系，根据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温州市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居家养老服务促进条例》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《浙江省民政厅浙江省财政厅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关于健全困难老年人补贴制度通知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》（浙民养〔202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ascii="FangSong_GB2312" w:hAnsi="FangSong_GB2312" w:eastAsia="FangSong_GB2312" w:cs="FangSong_GB2312"/>
          <w:spacing w:val="4"/>
          <w:sz w:val="32"/>
          <w:szCs w:val="32"/>
          <w:highlight w:val="none"/>
        </w:rPr>
        <w:t>完善老年人养老服务</w:t>
      </w: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补贴、养老护理补贴制度，加强老年人照顾服务，强化政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府兜底</w:t>
      </w: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保障职能，现就有关事项通知如下：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984" w:firstLineChars="300"/>
        <w:textAlignment w:val="auto"/>
        <w:outlineLvl w:val="1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4"/>
          <w:sz w:val="32"/>
          <w:szCs w:val="32"/>
          <w:highlight w:val="none"/>
        </w:rPr>
        <w:t>一、项目与标准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9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（一）养老服务补贴。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补贴对象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eastAsia="zh-CN"/>
        </w:rPr>
        <w:t>为瓯海区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户籍经济困难老年人</w:t>
      </w:r>
      <w:r>
        <w:rPr>
          <w:rFonts w:hint="eastAsia" w:ascii="FangSong_GB2312" w:hAnsi="FangSong_GB2312" w:eastAsia="FangSong_GB2312" w:cs="FangSong_GB2312"/>
          <w:spacing w:val="1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highlight w:val="none"/>
        </w:rPr>
        <w:t>60</w:t>
      </w:r>
      <w:r>
        <w:rPr>
          <w:rFonts w:ascii="FangSong_GB2312" w:hAnsi="FangSong_GB2312" w:eastAsia="FangSong_GB2312" w:cs="FangSong_GB2312"/>
          <w:spacing w:val="1"/>
          <w:sz w:val="32"/>
          <w:szCs w:val="32"/>
          <w:highlight w:val="none"/>
        </w:rPr>
        <w:t>周岁及以上，下同</w:t>
      </w:r>
      <w:r>
        <w:rPr>
          <w:rFonts w:hint="eastAsia" w:ascii="FangSong_GB2312" w:hAnsi="FangSong_GB2312" w:eastAsia="FangSong_GB2312" w:cs="FangSong_GB2312"/>
          <w:spacing w:val="-80"/>
          <w:sz w:val="32"/>
          <w:szCs w:val="32"/>
          <w:highlight w:val="none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eastAsia="zh-CN"/>
        </w:rPr>
        <w:t>和</w:t>
      </w:r>
      <w:r>
        <w:rPr>
          <w:rFonts w:ascii="FangSong_GB2312" w:hAnsi="FangSong_GB2312" w:eastAsia="FangSong_GB2312" w:cs="FangSong_GB2312"/>
          <w:spacing w:val="10"/>
          <w:sz w:val="32"/>
          <w:szCs w:val="32"/>
          <w:highlight w:val="none"/>
        </w:rPr>
        <w:t>高龄老年人（</w:t>
      </w:r>
      <w:r>
        <w:rPr>
          <w:rFonts w:ascii="Times New Roman" w:hAnsi="Times New Roman" w:eastAsia="Times New Roman" w:cs="Times New Roman"/>
          <w:spacing w:val="10"/>
          <w:sz w:val="32"/>
          <w:szCs w:val="32"/>
          <w:highlight w:val="none"/>
        </w:rPr>
        <w:t>80</w:t>
      </w:r>
      <w:r>
        <w:rPr>
          <w:rFonts w:ascii="FangSong_GB2312" w:hAnsi="FangSong_GB2312" w:eastAsia="FangSong_GB2312" w:cs="FangSong_GB2312"/>
          <w:spacing w:val="10"/>
          <w:sz w:val="32"/>
          <w:szCs w:val="32"/>
          <w:highlight w:val="none"/>
        </w:rPr>
        <w:t>周岁及以上，下同）</w:t>
      </w:r>
      <w:r>
        <w:rPr>
          <w:rFonts w:hint="eastAsia" w:ascii="FangSong_GB2312" w:hAnsi="FangSong_GB2312" w:eastAsia="FangSong_GB2312" w:cs="FangSong_GB2312"/>
          <w:spacing w:val="10"/>
          <w:sz w:val="32"/>
          <w:szCs w:val="32"/>
          <w:highlight w:val="none"/>
          <w:lang w:eastAsia="zh-CN"/>
        </w:rPr>
        <w:t>，</w:t>
      </w:r>
      <w:r>
        <w:rPr>
          <w:rFonts w:ascii="FangSong_GB2312" w:hAnsi="FangSong_GB2312" w:eastAsia="FangSong_GB2312" w:cs="FangSong_GB2312"/>
          <w:spacing w:val="1"/>
          <w:sz w:val="32"/>
          <w:szCs w:val="32"/>
          <w:highlight w:val="none"/>
        </w:rPr>
        <w:t>该项补贴用于日常</w:t>
      </w:r>
      <w:r>
        <w:rPr>
          <w:rFonts w:ascii="FangSong_GB2312" w:hAnsi="FangSong_GB2312" w:eastAsia="FangSong_GB2312" w:cs="FangSong_GB2312"/>
          <w:sz w:val="32"/>
          <w:szCs w:val="32"/>
          <w:highlight w:val="none"/>
        </w:rPr>
        <w:t>照料等生活性服务。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9"/>
        <w:textAlignment w:val="auto"/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1.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最低生活保障家庭老年人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补贴标准为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养老服务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highlight w:val="none"/>
          <w:lang w:val="en-US" w:eastAsia="zh-CN"/>
        </w:rPr>
        <w:t>2.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低保边缘家庭</w:t>
      </w:r>
      <w:r>
        <w:rPr>
          <w:rFonts w:ascii="FangSong_GB2312" w:hAnsi="FangSong_GB2312" w:eastAsia="FangSong_GB2312" w:cs="FangSong_GB2312"/>
          <w:spacing w:val="10"/>
          <w:sz w:val="32"/>
          <w:szCs w:val="32"/>
          <w:highlight w:val="none"/>
        </w:rPr>
        <w:t>的高龄老年人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补贴标准为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养老服务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。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br w:type="textWrapping"/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80至89周岁非机构养老的高龄老人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补贴标准为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养老服务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。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br w:type="textWrapping"/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.90周岁以上非机构养老的高龄老人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补贴标准为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养老服务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FangSong_GB2312" w:hAnsi="FangSong_GB2312" w:eastAsia="FangSong_GB2312" w:cs="FangSong_GB2312"/>
          <w:spacing w:val="17"/>
          <w:sz w:val="32"/>
          <w:szCs w:val="32"/>
          <w:highlight w:val="none"/>
          <w:lang w:eastAsia="zh-CN"/>
        </w:rPr>
      </w:pP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既符合困难残疾人生活补贴条件，又符合</w:t>
      </w:r>
      <w:r>
        <w:rPr>
          <w:rFonts w:ascii="FangSong_GB2312" w:hAnsi="FangSong_GB2312" w:eastAsia="FangSong_GB2312" w:cs="FangSong_GB2312"/>
          <w:spacing w:val="17"/>
          <w:sz w:val="32"/>
          <w:szCs w:val="32"/>
          <w:highlight w:val="none"/>
        </w:rPr>
        <w:t>养老服务补贴条件的老年人可同时申领困难残疾人生活补贴和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养老服务补贴。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br w:type="textWrapping"/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（二）养老护理补贴。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补贴对象为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eastAsia="zh-CN"/>
        </w:rPr>
        <w:t>瓯海区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户籍生活不能自理的经济困难家庭老年人，该项补贴用于因生活自理能力缺失而</w:t>
      </w:r>
      <w:r>
        <w:rPr>
          <w:rFonts w:ascii="FangSong_GB2312" w:hAnsi="FangSong_GB2312" w:eastAsia="FangSong_GB2312" w:cs="FangSong_GB2312"/>
          <w:spacing w:val="4"/>
          <w:sz w:val="32"/>
          <w:szCs w:val="32"/>
          <w:highlight w:val="none"/>
        </w:rPr>
        <w:t>产生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的照顾服务、护理服务、购买护理用品等照护性服务。根据《长期护理保障失能等级评估规范》（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>DB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highlight w:val="none"/>
        </w:rPr>
        <w:t>33/T2476-2022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）进行自理</w:t>
      </w:r>
      <w:r>
        <w:rPr>
          <w:rFonts w:ascii="FangSong_GB2312" w:hAnsi="FangSong_GB2312" w:eastAsia="FangSong_GB2312" w:cs="FangSong_GB2312"/>
          <w:spacing w:val="17"/>
          <w:sz w:val="32"/>
          <w:szCs w:val="32"/>
          <w:highlight w:val="none"/>
        </w:rPr>
        <w:t>能力评估</w:t>
      </w:r>
      <w:r>
        <w:rPr>
          <w:rFonts w:hint="eastAsia" w:ascii="FangSong_GB2312" w:hAnsi="FangSong_GB2312" w:eastAsia="FangSong_GB2312" w:cs="FangSong_GB2312"/>
          <w:spacing w:val="17"/>
          <w:sz w:val="32"/>
          <w:szCs w:val="32"/>
          <w:highlight w:val="none"/>
          <w:lang w:val="en-US" w:eastAsia="zh-CN"/>
        </w:rPr>
        <w:t>后，以下老人可享受养老护理补贴：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1.低保、低边、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重点优抚对象家庭成员、赡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养人死亡或者伤病残无力进行赡养的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、人体器官捐献人家庭成员中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生活完全不能自理（重度）失能失智老年人，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每月可以享受不少于</w:t>
      </w:r>
      <w:r>
        <w:rPr>
          <w:rFonts w:hint="eastAsia" w:ascii="宋体" w:hAnsi="Courier New" w:cs="Times New Roman"/>
          <w:color w:val="auto"/>
          <w:spacing w:val="-6"/>
          <w:sz w:val="32"/>
          <w:highlight w:val="none"/>
          <w:lang w:val="en-US" w:eastAsia="zh-CN"/>
        </w:rPr>
        <w:t>45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小时的免费居家养老服务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</w:pP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低保、低边、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重点优抚对象家庭成员、赡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养人死亡或者伤病残无力进行赡养的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、人体器官捐献人家庭成员中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基本不能自理（中度）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失能失智老年人，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每月可以享受不少于</w:t>
      </w:r>
      <w:r>
        <w:rPr>
          <w:rFonts w:hint="eastAsia" w:ascii="宋体" w:hAnsi="Courier New" w:cs="Times New Roman"/>
          <w:color w:val="auto"/>
          <w:spacing w:val="-6"/>
          <w:sz w:val="32"/>
          <w:highlight w:val="none"/>
          <w:lang w:val="en-US" w:eastAsia="zh-CN"/>
        </w:rPr>
        <w:t>30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小时的免费居家养老服务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</w:pPr>
      <w:r>
        <w:rPr>
          <w:rFonts w:hint="eastAsia" w:ascii="宋体" w:hAnsi="Courier New" w:cs="Times New Roman"/>
          <w:color w:val="auto"/>
          <w:spacing w:val="-6"/>
          <w:sz w:val="32"/>
          <w:highlight w:val="none"/>
          <w:lang w:val="en-US" w:eastAsia="zh-CN"/>
        </w:rPr>
        <w:t>3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部分不能自理（轻度）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失能失智老年人，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可以享受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125元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免费居家养老服务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Courier New" w:cs="Times New Roman"/>
          <w:color w:val="auto"/>
          <w:spacing w:val="-6"/>
          <w:sz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部分不能自理（轻度）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失能失智老年人，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可以享受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免费居家养老服务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养老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补贴中每月享受的服务小时数，应当按照不低于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瓯海区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上一年非全日制工作的最低小时工资标准予以换算。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失能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家庭不具备照料条件，经区民政局批准纳入机构养老的，可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根据失能情况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参照当地特困供养人员护理费标准执行。低边、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重点优抚对象家庭成员、赡</w:t>
      </w:r>
      <w:r>
        <w:rPr>
          <w:rFonts w:hint="eastAsia" w:ascii="宋体" w:hAnsi="Courier New" w:eastAsia="仿宋_GB2312" w:cs="Times New Roman"/>
          <w:color w:val="auto"/>
          <w:spacing w:val="-6"/>
          <w:sz w:val="32"/>
          <w:highlight w:val="none"/>
        </w:rPr>
        <w:t>养人死亡或者伤病残无力进行赡养的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、人体器官捐献人家庭成员中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的对象的家庭不具备照料条件，经区民政局批准纳入机构养老的，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根据失能情况按照不低于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当地特困供养人员护理费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50%的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标准执行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已享受重度残疾人护理补贴的，不重复享受养老护理补贴。实行长期护理保险地区的参保人员，已通过基金支付了基本护理费用且待遇高于护理补贴标准的，不重复享受养老护理补贴。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KaiTi_GB2312" w:hAnsi="KaiTi_GB2312" w:eastAsia="KaiTi_GB2312" w:cs="KaiTi_GB2312"/>
          <w:spacing w:val="-3"/>
          <w:sz w:val="32"/>
          <w:szCs w:val="32"/>
          <w:highlight w:val="none"/>
        </w:rPr>
        <w:t>（三）基本生活补助。</w:t>
      </w:r>
      <w:r>
        <w:rPr>
          <w:rFonts w:ascii="FangSong_GB2312" w:hAnsi="FangSong_GB2312" w:eastAsia="FangSong_GB2312" w:cs="FangSong_GB2312"/>
          <w:spacing w:val="-3"/>
          <w:sz w:val="32"/>
          <w:szCs w:val="32"/>
          <w:highlight w:val="none"/>
        </w:rPr>
        <w:t>补助对象为</w:t>
      </w:r>
      <w:r>
        <w:rPr>
          <w:rFonts w:hint="eastAsia" w:ascii="FangSong_GB2312" w:hAnsi="FangSong_GB2312" w:eastAsia="FangSong_GB2312" w:cs="FangSong_GB2312"/>
          <w:spacing w:val="-3"/>
          <w:sz w:val="32"/>
          <w:szCs w:val="32"/>
          <w:highlight w:val="none"/>
          <w:lang w:eastAsia="zh-CN"/>
        </w:rPr>
        <w:t>瓯海区</w:t>
      </w:r>
      <w:r>
        <w:rPr>
          <w:rFonts w:ascii="FangSong_GB2312" w:hAnsi="FangSong_GB2312" w:eastAsia="FangSong_GB2312" w:cs="FangSong_GB2312"/>
          <w:spacing w:val="-3"/>
          <w:sz w:val="32"/>
          <w:szCs w:val="32"/>
          <w:highlight w:val="none"/>
        </w:rPr>
        <w:t>户籍</w:t>
      </w:r>
      <w:r>
        <w:rPr>
          <w:rFonts w:ascii="FangSong_GB2312" w:hAnsi="FangSong_GB2312" w:eastAsia="FangSong_GB2312" w:cs="FangSong_GB2312"/>
          <w:spacing w:val="-4"/>
          <w:sz w:val="32"/>
          <w:szCs w:val="32"/>
          <w:highlight w:val="none"/>
        </w:rPr>
        <w:t>低保家庭老年人，</w:t>
      </w: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每月按照当地低保标准的</w:t>
      </w:r>
      <w:r>
        <w:rPr>
          <w:rFonts w:ascii="Times New Roman" w:hAnsi="Times New Roman" w:eastAsia="Times New Roman" w:cs="Times New Roman"/>
          <w:spacing w:val="3"/>
          <w:sz w:val="32"/>
          <w:szCs w:val="32"/>
          <w:highlight w:val="none"/>
        </w:rPr>
        <w:t>10%</w:t>
      </w:r>
      <w:r>
        <w:rPr>
          <w:rFonts w:ascii="FangSong_GB2312" w:hAnsi="FangSong_GB2312" w:eastAsia="FangSong_GB2312" w:cs="FangSong_GB2312"/>
          <w:spacing w:val="3"/>
          <w:sz w:val="32"/>
          <w:szCs w:val="32"/>
          <w:highlight w:val="none"/>
        </w:rPr>
        <w:t>计发，用于解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决低保老年人的基本</w:t>
      </w:r>
      <w:r>
        <w:rPr>
          <w:rFonts w:ascii="FangSong_GB2312" w:hAnsi="FangSong_GB2312" w:eastAsia="FangSong_GB2312" w:cs="FangSong_GB2312"/>
          <w:spacing w:val="-6"/>
          <w:sz w:val="32"/>
          <w:szCs w:val="32"/>
          <w:highlight w:val="none"/>
        </w:rPr>
        <w:t>生活困难。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享受困难残疾人生活补贴或困难退役军人基本生活救助的，不重复享受</w:t>
      </w:r>
      <w:r>
        <w:rPr>
          <w:rFonts w:ascii="FangSong_GB2312" w:hAnsi="FangSong_GB2312" w:eastAsia="FangSong_GB2312" w:cs="FangSong_GB2312"/>
          <w:spacing w:val="-2"/>
          <w:sz w:val="32"/>
          <w:szCs w:val="32"/>
          <w:highlight w:val="none"/>
        </w:rPr>
        <w:t>基本生活补助。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8" w:firstLineChars="200"/>
        <w:textAlignment w:val="auto"/>
        <w:outlineLvl w:val="1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7"/>
          <w:sz w:val="32"/>
          <w:szCs w:val="32"/>
          <w:highlight w:val="none"/>
        </w:rPr>
        <w:t>二、认定与复核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7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（一）养老服务补贴。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低保家庭老年人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eastAsia="zh-CN"/>
        </w:rPr>
        <w:t>和</w:t>
      </w:r>
      <w:r>
        <w:rPr>
          <w:rFonts w:ascii="FangSong_GB2312" w:hAnsi="FangSong_GB2312" w:eastAsia="FangSong_GB2312" w:cs="FangSong_GB2312"/>
          <w:spacing w:val="2"/>
          <w:sz w:val="32"/>
          <w:szCs w:val="32"/>
          <w:highlight w:val="none"/>
        </w:rPr>
        <w:t>低保边缘家庭</w:t>
      </w:r>
      <w:r>
        <w:rPr>
          <w:rFonts w:ascii="FangSong_GB2312" w:hAnsi="FangSong_GB2312" w:eastAsia="FangSong_GB2312" w:cs="FangSong_GB2312"/>
          <w:spacing w:val="10"/>
          <w:sz w:val="32"/>
          <w:szCs w:val="32"/>
          <w:highlight w:val="none"/>
        </w:rPr>
        <w:t>的高龄老年人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依据浙江省大救助信息系统共享在册人员数据，无需申请，随低保资格动态调整。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80周岁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非机构养老的高龄老人免审即享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依据浙里康养系统共享高龄津贴发放人员数据。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9"/>
        <w:textAlignment w:val="auto"/>
        <w:rPr>
          <w:rFonts w:hint="eastAsia" w:eastAsia="仿宋_GB2312"/>
          <w:color w:val="auto"/>
          <w:highlight w:val="none"/>
          <w:lang w:val="en-US" w:eastAsia="zh-CN"/>
        </w:rPr>
      </w:pP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（二）养老护理补贴。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本人或代办人在户籍地或常住地镇人民政府（街道办事处）发起申请，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val="en-US" w:eastAsia="zh-CN"/>
        </w:rPr>
        <w:t>镇街初审，再由区民政局或镇街委托的第三方对补贴申请对象进行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老年人自理能力评估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val="en-US" w:eastAsia="zh-CN"/>
        </w:rPr>
        <w:t>后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，</w:t>
      </w:r>
      <w:r>
        <w:rPr>
          <w:rFonts w:hint="eastAsia" w:ascii="FangSong_GB2312" w:hAnsi="FangSong_GB2312" w:eastAsia="FangSong_GB2312" w:cs="FangSong_GB2312"/>
          <w:spacing w:val="5"/>
          <w:sz w:val="32"/>
          <w:szCs w:val="32"/>
          <w:highlight w:val="none"/>
          <w:lang w:val="en-US" w:eastAsia="zh-CN"/>
        </w:rPr>
        <w:t>经村居</w:t>
      </w:r>
      <w:r>
        <w:rPr>
          <w:rFonts w:ascii="FangSong_GB2312" w:hAnsi="FangSong_GB2312" w:eastAsia="FangSong_GB2312" w:cs="FangSong_GB2312"/>
          <w:spacing w:val="1"/>
          <w:sz w:val="32"/>
          <w:szCs w:val="32"/>
          <w:highlight w:val="none"/>
        </w:rPr>
        <w:t>公示</w:t>
      </w:r>
      <w:r>
        <w:rPr>
          <w:rFonts w:hint="eastAsia" w:ascii="FangSong_GB2312" w:hAnsi="FangSong_GB2312" w:eastAsia="FangSong_GB2312" w:cs="FangSong_GB2312"/>
          <w:spacing w:val="1"/>
          <w:sz w:val="32"/>
          <w:szCs w:val="32"/>
          <w:highlight w:val="none"/>
          <w:lang w:val="en-US" w:eastAsia="zh-CN"/>
        </w:rPr>
        <w:t>，区民政局</w:t>
      </w:r>
      <w:r>
        <w:rPr>
          <w:rFonts w:ascii="FangSong_GB2312" w:hAnsi="FangSong_GB2312" w:eastAsia="FangSong_GB2312" w:cs="FangSong_GB2312"/>
          <w:spacing w:val="1"/>
          <w:sz w:val="32"/>
          <w:szCs w:val="32"/>
          <w:highlight w:val="none"/>
        </w:rPr>
        <w:t>审批</w:t>
      </w:r>
      <w:r>
        <w:rPr>
          <w:rFonts w:hint="eastAsia" w:ascii="FangSong_GB2312" w:hAnsi="FangSong_GB2312" w:eastAsia="FangSong_GB2312" w:cs="FangSong_GB2312"/>
          <w:spacing w:val="1"/>
          <w:sz w:val="32"/>
          <w:szCs w:val="32"/>
          <w:highlight w:val="none"/>
          <w:lang w:val="en-US" w:eastAsia="zh-CN"/>
        </w:rPr>
        <w:t>后</w:t>
      </w:r>
      <w:r>
        <w:rPr>
          <w:rFonts w:ascii="FangSong_GB2312" w:hAnsi="FangSong_GB2312" w:eastAsia="FangSong_GB2312" w:cs="FangSong_GB2312"/>
          <w:spacing w:val="1"/>
          <w:sz w:val="32"/>
          <w:szCs w:val="32"/>
          <w:highlight w:val="none"/>
        </w:rPr>
        <w:t>确定补贴名单和补助标准。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补贴对象原则上为每年评估一次自</w:t>
      </w:r>
      <w:r>
        <w:rPr>
          <w:rFonts w:ascii="FangSong_GB2312" w:hAnsi="FangSong_GB2312" w:eastAsia="FangSong_GB2312" w:cs="FangSong_GB2312"/>
          <w:color w:val="auto"/>
          <w:spacing w:val="5"/>
          <w:sz w:val="32"/>
          <w:szCs w:val="32"/>
          <w:highlight w:val="none"/>
        </w:rPr>
        <w:t>理能力</w:t>
      </w:r>
      <w:r>
        <w:rPr>
          <w:rFonts w:hint="eastAsia" w:ascii="FangSong_GB2312" w:hAnsi="FangSong_GB2312" w:eastAsia="FangSong_GB2312" w:cs="FangSong_GB2312"/>
          <w:color w:val="auto"/>
          <w:spacing w:val="5"/>
          <w:sz w:val="32"/>
          <w:szCs w:val="32"/>
          <w:highlight w:val="none"/>
          <w:lang w:eastAsia="zh-CN"/>
        </w:rPr>
        <w:t>，评估费用</w:t>
      </w:r>
      <w:r>
        <w:rPr>
          <w:rFonts w:hint="eastAsia" w:ascii="FangSong_GB2312" w:hAnsi="FangSong_GB2312" w:eastAsia="FangSong_GB2312" w:cs="FangSong_GB2312"/>
          <w:color w:val="auto"/>
          <w:spacing w:val="5"/>
          <w:sz w:val="32"/>
          <w:szCs w:val="32"/>
          <w:highlight w:val="none"/>
          <w:lang w:val="en-US" w:eastAsia="zh-CN"/>
        </w:rPr>
        <w:t>由区民政局承担。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（三）基本生活补助。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补助对象依据浙江省大救助信息系统</w:t>
      </w:r>
      <w:r>
        <w:rPr>
          <w:rFonts w:ascii="FangSong_GB2312" w:hAnsi="FangSong_GB2312" w:eastAsia="FangSong_GB2312" w:cs="FangSong_GB2312"/>
          <w:spacing w:val="6"/>
          <w:sz w:val="32"/>
          <w:szCs w:val="32"/>
          <w:highlight w:val="none"/>
        </w:rPr>
        <w:t>共享在册人员数据，无需申请，随低保资格动态调整。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（</w:t>
      </w:r>
      <w:r>
        <w:rPr>
          <w:rFonts w:hint="eastAsia" w:ascii="KaiTi_GB2312" w:hAnsi="KaiTi_GB2312" w:eastAsia="KaiTi_GB2312" w:cs="KaiTi_GB2312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ascii="KaiTi_GB2312" w:hAnsi="KaiTi_GB2312" w:eastAsia="KaiTi_GB2312" w:cs="KaiTi_GB2312"/>
          <w:spacing w:val="5"/>
          <w:sz w:val="32"/>
          <w:szCs w:val="32"/>
          <w:highlight w:val="none"/>
        </w:rPr>
        <w:t>）</w:t>
      </w:r>
      <w:r>
        <w:rPr>
          <w:rFonts w:hint="eastAsia" w:ascii="KaiTi_GB2312" w:hAnsi="KaiTi_GB2312" w:eastAsia="KaiTi_GB2312" w:cs="KaiTi_GB2312"/>
          <w:spacing w:val="5"/>
          <w:sz w:val="32"/>
          <w:szCs w:val="32"/>
          <w:highlight w:val="none"/>
          <w:lang w:val="en-US" w:eastAsia="zh-CN"/>
        </w:rPr>
        <w:t>变更。</w:t>
      </w:r>
      <w:r>
        <w:rPr>
          <w:rFonts w:ascii="FangSong_GB2312" w:hAnsi="FangSong_GB2312" w:eastAsia="FangSong_GB2312" w:cs="FangSong_GB2312"/>
          <w:spacing w:val="4"/>
          <w:sz w:val="32"/>
          <w:szCs w:val="32"/>
          <w:highlight w:val="none"/>
        </w:rPr>
        <w:t>补贴对象新增的或自理能力评估结果发生变化的，自认定的</w:t>
      </w:r>
      <w:r>
        <w:rPr>
          <w:rFonts w:ascii="FangSong_GB2312" w:hAnsi="FangSong_GB2312" w:eastAsia="FangSong_GB2312" w:cs="FangSong_GB2312"/>
          <w:spacing w:val="6"/>
          <w:sz w:val="32"/>
          <w:szCs w:val="32"/>
          <w:highlight w:val="none"/>
        </w:rPr>
        <w:t>次月起开始享受或调整补贴；退出低保的，自次月起停止享受。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8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7"/>
          <w:sz w:val="32"/>
          <w:szCs w:val="32"/>
          <w:highlight w:val="none"/>
        </w:rPr>
        <w:t>三、发放与提供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highlight w:val="none"/>
          <w:lang w:val="en-US"/>
        </w:rPr>
      </w:pP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养老服务补贴、养老护理补贴，可采取电子</w:t>
      </w:r>
      <w:r>
        <w:rPr>
          <w:rFonts w:ascii="FangSong_GB2312" w:hAnsi="FangSong_GB2312" w:eastAsia="FangSong_GB2312" w:cs="FangSong_GB2312"/>
          <w:spacing w:val="4"/>
          <w:sz w:val="32"/>
          <w:szCs w:val="32"/>
          <w:highlight w:val="none"/>
        </w:rPr>
        <w:t>积分的形式按月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发放至老年人本人的社保卡养老补贴专用账户中，以服务给付的方式用于日常生活照料、照护服务范围内的消费结算</w:t>
      </w:r>
      <w:r>
        <w:rPr>
          <w:rFonts w:ascii="FangSong_GB2312" w:hAnsi="FangSong_GB2312" w:eastAsia="FangSong_GB2312" w:cs="FangSong_GB2312"/>
          <w:spacing w:val="-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偏远山区地方若难以购买服务的，可以采取发放货币的方式，具体由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民政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会同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财政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根据实际情况确定。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自愿放弃补贴的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6"/>
        <w:textAlignment w:val="auto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FangSong_GB2312" w:hAnsi="FangSong_GB2312" w:eastAsia="FangSong_GB2312" w:cs="FangSong_GB2312"/>
          <w:spacing w:val="18"/>
          <w:sz w:val="32"/>
          <w:szCs w:val="32"/>
          <w:highlight w:val="none"/>
        </w:rPr>
        <w:t>基本生活补助</w:t>
      </w:r>
      <w:r>
        <w:rPr>
          <w:rFonts w:hint="eastAsia" w:ascii="汉仪平安行粗简" w:hAnsi="汉仪平安行粗简" w:eastAsia="汉仪平安行粗简" w:cs="汉仪平安行粗简"/>
          <w:sz w:val="32"/>
          <w:szCs w:val="32"/>
          <w:highlight w:val="none"/>
          <w:lang w:val="en-US" w:eastAsia="zh-CN"/>
        </w:rPr>
        <w:t>由救助口具体办理，</w:t>
      </w:r>
      <w:r>
        <w:rPr>
          <w:rFonts w:ascii="FangSong_GB2312" w:hAnsi="FangSong_GB2312" w:eastAsia="FangSong_GB2312" w:cs="FangSong_GB2312"/>
          <w:spacing w:val="18"/>
          <w:sz w:val="32"/>
          <w:szCs w:val="32"/>
          <w:highlight w:val="none"/>
        </w:rPr>
        <w:t>与最低生活保障金同步发放至老年人本人或</w:t>
      </w:r>
      <w:r>
        <w:rPr>
          <w:rFonts w:ascii="FangSong_GB2312" w:hAnsi="FangSong_GB2312" w:eastAsia="FangSong_GB2312" w:cs="FangSong_GB2312"/>
          <w:spacing w:val="-1"/>
          <w:sz w:val="32"/>
          <w:szCs w:val="32"/>
          <w:highlight w:val="none"/>
        </w:rPr>
        <w:t>家庭的银行账户中。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6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4"/>
          <w:sz w:val="32"/>
          <w:szCs w:val="32"/>
          <w:highlight w:val="none"/>
        </w:rPr>
        <w:t>四、政策衔接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ascii="FangSong_GB2312" w:hAnsi="FangSong_GB2312" w:eastAsia="FangSong_GB2312" w:cs="FangSong_GB2312"/>
          <w:spacing w:val="-3"/>
          <w:sz w:val="32"/>
          <w:szCs w:val="32"/>
          <w:highlight w:val="none"/>
        </w:rPr>
      </w:pPr>
      <w:r>
        <w:rPr>
          <w:rFonts w:ascii="FangSong_GB2312" w:hAnsi="FangSong_GB2312" w:eastAsia="FangSong_GB2312" w:cs="FangSong_GB2312"/>
          <w:spacing w:val="4"/>
          <w:sz w:val="32"/>
          <w:szCs w:val="32"/>
          <w:highlight w:val="none"/>
        </w:rPr>
        <w:t>符合条件的老年人，可以同时申领养老服务补贴、养老护理</w:t>
      </w:r>
      <w:r>
        <w:rPr>
          <w:rFonts w:ascii="FangSong_GB2312" w:hAnsi="FangSong_GB2312" w:eastAsia="FangSong_GB2312" w:cs="FangSong_GB2312"/>
          <w:spacing w:val="5"/>
          <w:sz w:val="32"/>
          <w:szCs w:val="32"/>
          <w:highlight w:val="none"/>
        </w:rPr>
        <w:t>补贴、基本生活补助。领取工伤保险生活护理费或纳入特困人员供养保</w:t>
      </w:r>
      <w:r>
        <w:rPr>
          <w:rFonts w:ascii="FangSong_GB2312" w:hAnsi="FangSong_GB2312" w:eastAsia="FangSong_GB2312" w:cs="FangSong_GB2312"/>
          <w:spacing w:val="-2"/>
          <w:sz w:val="32"/>
          <w:szCs w:val="32"/>
          <w:highlight w:val="none"/>
        </w:rPr>
        <w:t>障的，不重复享受养老服务补贴和养老护理补贴、基本</w:t>
      </w:r>
      <w:r>
        <w:rPr>
          <w:rFonts w:ascii="FangSong_GB2312" w:hAnsi="FangSong_GB2312" w:eastAsia="FangSong_GB2312" w:cs="FangSong_GB2312"/>
          <w:spacing w:val="-3"/>
          <w:sz w:val="32"/>
          <w:szCs w:val="32"/>
          <w:highlight w:val="none"/>
        </w:rPr>
        <w:t>生活补助。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本办法自202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ascii="FangSong_GB2312" w:hAnsi="FangSong_GB2312" w:eastAsia="FangSong_GB2312" w:cs="FangSong_GB2312"/>
          <w:spacing w:val="-2"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jg1OThiOTZiZjNiNWZkZjE2M2Q2YTc1Y2UzNGQifQ=="/>
  </w:docVars>
  <w:rsids>
    <w:rsidRoot w:val="5FB53C38"/>
    <w:rsid w:val="00732078"/>
    <w:rsid w:val="187A1961"/>
    <w:rsid w:val="1FBE10CC"/>
    <w:rsid w:val="45941C87"/>
    <w:rsid w:val="5F572518"/>
    <w:rsid w:val="5FB53C38"/>
    <w:rsid w:val="61DF01F9"/>
    <w:rsid w:val="637A0B73"/>
    <w:rsid w:val="6F5D262D"/>
    <w:rsid w:val="7A0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1822</Words>
  <Characters>1875</Characters>
  <Lines>0</Lines>
  <Paragraphs>0</Paragraphs>
  <TotalTime>48</TotalTime>
  <ScaleCrop>false</ScaleCrop>
  <LinksUpToDate>false</LinksUpToDate>
  <CharactersWithSpaces>1888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2024-06-19T14:24:00Z</dcterms:created>
  <dc:creator>周桂林</dc:creator>
  <cp:lastModifiedBy>unis</cp:lastModifiedBy>
  <dcterms:modified xsi:type="dcterms:W3CDTF">2024-06-26T10:10:56Z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307EA7CF734447F4B9B2920F38C7879D_12</vt:lpwstr>
  </property>
</Properties>
</file>