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F12A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《云和县新兴产业战略性规划（2024-2030年）（征求意见稿）》起草说明</w:t>
      </w:r>
    </w:p>
    <w:p w14:paraId="3407BEDD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一、起草背景</w:t>
      </w:r>
    </w:p>
    <w:p w14:paraId="2831FF53">
      <w:pPr>
        <w:spacing w:line="600" w:lineRule="atLeast"/>
        <w:ind w:firstLine="64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ascii="CESI楷体-GB2312" w:hAnsi="CESI楷体-GB2312" w:eastAsia="宋体" w:cs="Times New Roman"/>
          <w:b/>
          <w:sz w:val="32"/>
          <w:szCs w:val="32"/>
        </w:rPr>
        <w:t>（一）贯彻落实</w:t>
      </w:r>
      <w:r>
        <w:rPr>
          <w:rFonts w:hint="eastAsia" w:ascii="CESI楷体-GB2312" w:hAnsi="CESI楷体-GB2312" w:eastAsia="宋体" w:cs="Times New Roman"/>
          <w:b/>
          <w:sz w:val="32"/>
          <w:szCs w:val="32"/>
        </w:rPr>
        <w:t>国家、</w:t>
      </w:r>
      <w:r>
        <w:rPr>
          <w:rFonts w:ascii="CESI楷体-GB2312" w:hAnsi="CESI楷体-GB2312" w:eastAsia="宋体" w:cs="Times New Roman"/>
          <w:b/>
          <w:sz w:val="32"/>
          <w:szCs w:val="32"/>
        </w:rPr>
        <w:t>省、市、县的工作部署要求。</w:t>
      </w:r>
      <w:r>
        <w:rPr>
          <w:rFonts w:hint="eastAsia" w:ascii="仿宋_GB2312" w:hAnsi="Calibri" w:eastAsia="仿宋_GB2312" w:cs="Times New Roman"/>
          <w:sz w:val="32"/>
          <w:szCs w:val="32"/>
        </w:rPr>
        <w:t>《国务院关于新时代支持革命老区振兴发展的意见》《浙江高质量发展建设共同富裕示范区实施方案（</w:t>
      </w:r>
      <w:r>
        <w:rPr>
          <w:rFonts w:ascii="仿宋_GB2312" w:hAnsi="Calibri" w:eastAsia="仿宋_GB2312" w:cs="Times New Roman"/>
          <w:sz w:val="32"/>
          <w:szCs w:val="32"/>
        </w:rPr>
        <w:t>2021—2025年）》《浙江省“415X”先进制造业集群建设行动方案（2023—2027年）》</w:t>
      </w:r>
      <w:r>
        <w:rPr>
          <w:rFonts w:hint="eastAsia" w:ascii="仿宋_GB2312" w:hAnsi="Calibri" w:eastAsia="仿宋_GB2312" w:cs="Times New Roman"/>
          <w:sz w:val="32"/>
          <w:szCs w:val="32"/>
        </w:rPr>
        <w:t>《丽水市生态工业发展“十四五”规划》《云和县生态工业发展“十四五”规划》《云和县“</w:t>
      </w:r>
      <w:r>
        <w:rPr>
          <w:rFonts w:ascii="仿宋_GB2312" w:hAnsi="Calibri" w:eastAsia="仿宋_GB2312" w:cs="Times New Roman"/>
          <w:sz w:val="32"/>
          <w:szCs w:val="32"/>
        </w:rPr>
        <w:t>4+X”特色产业培育工程实施方案（2023-2027年）</w:t>
      </w:r>
      <w:r>
        <w:rPr>
          <w:rFonts w:hint="eastAsia" w:ascii="仿宋_GB2312" w:hAnsi="Calibri" w:eastAsia="仿宋_GB2312" w:cs="Times New Roman"/>
          <w:sz w:val="32"/>
          <w:szCs w:val="32"/>
        </w:rPr>
        <w:t>》均明确提出推进发展新兴产业，根据文件精神特此制定《云和县新兴产业战略性规划（</w:t>
      </w:r>
      <w:r>
        <w:rPr>
          <w:rFonts w:ascii="仿宋_GB2312" w:hAnsi="Calibri" w:eastAsia="仿宋_GB2312" w:cs="Times New Roman"/>
          <w:sz w:val="32"/>
          <w:szCs w:val="32"/>
        </w:rPr>
        <w:t>2024-2030年）（征求意见稿）》</w:t>
      </w:r>
      <w:r>
        <w:rPr>
          <w:rFonts w:hint="eastAsia" w:ascii="仿宋_GB2312" w:hAnsi="Calibri" w:eastAsia="仿宋_GB2312" w:cs="Times New Roman"/>
          <w:sz w:val="32"/>
          <w:szCs w:val="32"/>
        </w:rPr>
        <w:t>（以下简称“规划”）。</w:t>
      </w:r>
    </w:p>
    <w:p w14:paraId="211CE13B">
      <w:pPr>
        <w:spacing w:line="580" w:lineRule="exact"/>
        <w:ind w:firstLine="643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ascii="CESI楷体-GB2312" w:hAnsi="CESI楷体-GB2312" w:eastAsia="宋体" w:cs="Times New Roman"/>
          <w:b/>
          <w:sz w:val="32"/>
          <w:szCs w:val="32"/>
        </w:rPr>
        <w:t>（二）当前传统产业转型升级的迫切需要。</w:t>
      </w:r>
      <w:r>
        <w:rPr>
          <w:rFonts w:hint="eastAsia" w:ascii="仿宋_GB2312" w:hAnsi="Calibri" w:eastAsia="仿宋_GB2312" w:cs="Times New Roman"/>
          <w:sz w:val="32"/>
          <w:szCs w:val="32"/>
        </w:rPr>
        <w:t>当前我县正处于传统产业转型升级的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关键节点，亟需通过发展新兴产业推进新质生产力布局、推动县域经济健康快速发展。《规划》的实施，有利于提升云和整体竞争力，加快推动我县产业高质量发展。</w:t>
      </w:r>
    </w:p>
    <w:p w14:paraId="6BF9523F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二、主要内容</w:t>
      </w:r>
    </w:p>
    <w:p w14:paraId="56D53578">
      <w:pPr>
        <w:widowControl/>
        <w:ind w:firstLine="640" w:firstLineChars="200"/>
        <w:textAlignment w:val="baseline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本《规划》共六部分。 </w:t>
      </w:r>
    </w:p>
    <w:p w14:paraId="1220B77F">
      <w:pPr>
        <w:widowControl/>
        <w:ind w:firstLine="643" w:firstLineChars="200"/>
        <w:textAlignment w:val="baseline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第一部分：发展基础与形势。</w:t>
      </w:r>
      <w:r>
        <w:rPr>
          <w:rFonts w:hint="eastAsia" w:ascii="仿宋_GB2312" w:hAnsi="Calibri" w:eastAsia="仿宋_GB2312" w:cs="Times New Roman"/>
          <w:sz w:val="32"/>
          <w:szCs w:val="32"/>
        </w:rPr>
        <w:t>总结梳理云和新兴产业发展成效和存在的主要问题，明晰云和新兴产业发展现状、和困难不足；研究分析“十四五”、“十五五”时期国内外产业发展环境、技术发展趋势，研判云和新兴产业发展面临的新形势。</w:t>
      </w:r>
    </w:p>
    <w:p w14:paraId="43A8A016">
      <w:pPr>
        <w:widowControl/>
        <w:ind w:firstLine="643" w:firstLineChars="200"/>
        <w:textAlignment w:val="baseline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第二部分：总体要求。</w:t>
      </w:r>
      <w:r>
        <w:rPr>
          <w:rFonts w:hint="eastAsia" w:ascii="仿宋_GB2312" w:hAnsi="Calibri" w:eastAsia="仿宋_GB2312" w:cs="Times New Roman"/>
          <w:sz w:val="32"/>
          <w:szCs w:val="32"/>
        </w:rPr>
        <w:t>提出习近平新时代中国特色社会主义思想为指导的思路、基本原则、战略定位和发展目标，围绕新兴产业实现集聚发展和规模发展，加快建成区域性新兴产业发展新高地、承接长三角新兴产业转移的集聚区、区域政策创新和机制改革的先行区。</w:t>
      </w:r>
    </w:p>
    <w:p w14:paraId="23A5608C">
      <w:pPr>
        <w:widowControl/>
        <w:ind w:firstLine="643" w:firstLineChars="200"/>
        <w:textAlignment w:val="baseline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第三部分：产业发展方向和重点。</w:t>
      </w:r>
      <w:r>
        <w:rPr>
          <w:rFonts w:hint="eastAsia" w:ascii="仿宋_GB2312" w:hAnsi="Calibri" w:eastAsia="仿宋_GB2312" w:cs="Times New Roman"/>
          <w:sz w:val="32"/>
          <w:szCs w:val="32"/>
        </w:rPr>
        <w:t>紧抓全球新一轮产业变革机遇，构建以第三代半导体、先进功能装备和生物医药大健康产业为主导的新兴产业体系，助力打造全国山区共同富裕样板县。在产业方向上，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一是大力发展第三代半导体产业，</w:t>
      </w:r>
      <w:r>
        <w:rPr>
          <w:rFonts w:hint="eastAsia" w:ascii="仿宋_GB2312" w:hAnsi="Calibri" w:eastAsia="仿宋_GB2312" w:cs="Times New Roman"/>
          <w:sz w:val="32"/>
          <w:szCs w:val="32"/>
        </w:rPr>
        <w:t>以重大项目为抓手，稳定提升材料制备和产业化能力、器件设计和制造能力、封装测试能力，围绕特色晶圆加工和半导体材料领域加快形成区域影响力，</w:t>
      </w:r>
      <w:r>
        <w:rPr>
          <w:rFonts w:ascii="仿宋_GB2312" w:hAnsi="Calibri" w:eastAsia="仿宋_GB2312" w:cs="Times New Roman"/>
          <w:sz w:val="32"/>
          <w:szCs w:val="32"/>
        </w:rPr>
        <w:t>打造百亿级半导体产业集群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二是集聚发展先进功能装备产业，</w:t>
      </w:r>
      <w:r>
        <w:rPr>
          <w:rFonts w:hint="eastAsia" w:ascii="仿宋_GB2312" w:hAnsi="Calibri" w:eastAsia="仿宋_GB2312" w:cs="Times New Roman"/>
          <w:sz w:val="32"/>
          <w:szCs w:val="32"/>
        </w:rPr>
        <w:t>以减速器功能部件为核心，推动高性能轴承、高可靠密封件等关键基础零部件创新提质，延链发展智能机器人及核心零部件细分领域，打造省内知名的先进功能装备产业基地；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三是培育发展生物医药大健康产业，</w:t>
      </w:r>
      <w:r>
        <w:rPr>
          <w:rFonts w:hint="eastAsia" w:ascii="仿宋_GB2312" w:hAnsi="Calibri" w:eastAsia="仿宋_GB2312" w:cs="Times New Roman"/>
          <w:sz w:val="32"/>
          <w:szCs w:val="32"/>
        </w:rPr>
        <w:t>统筹中医、西医两大领域，培育壮大现代中药，引进扶持生物制药、医疗器械、健康食品三大潜力细分领域，形成“</w:t>
      </w:r>
      <w:r>
        <w:rPr>
          <w:rFonts w:ascii="仿宋_GB2312" w:hAnsi="Calibri" w:eastAsia="仿宋_GB2312" w:cs="Times New Roman"/>
          <w:sz w:val="32"/>
          <w:szCs w:val="32"/>
        </w:rPr>
        <w:t>1+3”优势与潜力细分领域协调并进的生物医药大健康产业格局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ascii="仿宋_GB2312" w:hAnsi="Calibri" w:eastAsia="仿宋_GB2312" w:cs="Times New Roman"/>
          <w:sz w:val="32"/>
          <w:szCs w:val="32"/>
        </w:rPr>
        <w:t>建成体系完整、特色鲜明的现代医药产业集群和浙西南生物医药大健康产业基地。</w:t>
      </w:r>
    </w:p>
    <w:p w14:paraId="37F8BCD9">
      <w:pPr>
        <w:widowControl/>
        <w:ind w:firstLine="643" w:firstLineChars="200"/>
        <w:textAlignment w:val="baseline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第四部分：产业空间布局。</w:t>
      </w:r>
      <w:r>
        <w:rPr>
          <w:rFonts w:hint="eastAsia" w:ascii="仿宋_GB2312" w:hAnsi="Calibri" w:eastAsia="仿宋_GB2312" w:cs="Times New Roman"/>
          <w:sz w:val="32"/>
          <w:szCs w:val="32"/>
        </w:rPr>
        <w:t>提出“一心一谷两轴四区多组团”产业总体空间格局。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一心即新兴产业综合服务中心，</w:t>
      </w:r>
      <w:r>
        <w:rPr>
          <w:rFonts w:hint="eastAsia" w:ascii="仿宋_GB2312" w:hAnsi="Calibri" w:eastAsia="仿宋_GB2312" w:cs="Times New Roman"/>
          <w:sz w:val="32"/>
          <w:szCs w:val="32"/>
        </w:rPr>
        <w:t>重点承载行政办公、总部经济、商务服务、展示展览、生活居住、教育医疗、休闲娱乐等功能。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一谷即雾溪智谷，</w:t>
      </w:r>
      <w:r>
        <w:rPr>
          <w:rFonts w:hint="eastAsia" w:ascii="仿宋_GB2312" w:hAnsi="Calibri" w:eastAsia="仿宋_GB2312" w:cs="Times New Roman"/>
          <w:sz w:val="32"/>
          <w:szCs w:val="32"/>
        </w:rPr>
        <w:t>承担研发创新、孵化加速、科技合作、技术服务、成果转化、人才培养等功能。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两轴即雾溪智创轴和产业创新轴，</w:t>
      </w:r>
      <w:r>
        <w:rPr>
          <w:rFonts w:hint="eastAsia" w:ascii="仿宋_GB2312" w:hAnsi="Calibri" w:eastAsia="仿宋_GB2312" w:cs="Times New Roman"/>
          <w:sz w:val="32"/>
          <w:szCs w:val="32"/>
        </w:rPr>
        <w:t>构建纵横连接全县政务资源、产业资源、科教资源、金融资源、服务资源的发展轴线。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四区即新兴产业发展区、木玩产业智创区和新兴产业储备区和生活配套区，</w:t>
      </w:r>
      <w:r>
        <w:rPr>
          <w:rFonts w:hint="eastAsia" w:ascii="仿宋_GB2312" w:hAnsi="Calibri" w:eastAsia="仿宋_GB2312" w:cs="Times New Roman"/>
          <w:sz w:val="32"/>
          <w:szCs w:val="32"/>
        </w:rPr>
        <w:t>主要承载新兴产业发展、木玩产业升级和生活服务配套等功能。多组团即围绕新兴主导产业形成多个产业功能区，包括第三代半导体产业园、先进功能装备产业园、生物医药大健康产业园、现代物流产业园等。</w:t>
      </w:r>
    </w:p>
    <w:p w14:paraId="6DBC23D3">
      <w:pPr>
        <w:widowControl/>
        <w:ind w:firstLine="643" w:firstLineChars="200"/>
        <w:textAlignment w:val="baseline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第五部分：重点任务。</w:t>
      </w:r>
      <w:r>
        <w:rPr>
          <w:rFonts w:hint="eastAsia" w:ascii="仿宋_GB2312" w:hAnsi="Calibri" w:eastAsia="仿宋_GB2312" w:cs="Times New Roman"/>
          <w:sz w:val="32"/>
          <w:szCs w:val="32"/>
        </w:rPr>
        <w:t>涉及六大工程十八项重点举措。一是扩大开放合作工程，加强与长三角区域产业合作共建，推动“山海协作”走实走深，融入国内国际双循环建设；二是创新能力提升工程，壮大创新型企业队伍，提高企业技术创新能力，加快科技成果转化，完善科技创新平台；三是产业生态打造工程，补齐产业载体建设“短板”，创新园区服务管理体系，推动产业集群和区域品牌建设；四是企业梯队培育工程，培育大型骨干企业，扶持创新型中小微企业发展；五是产业链条拓展工程，创新招商引资，开展项目群建设，聚焦产业链重点环节；六是产业人才供给工程，加快引进高层次创新人才，大力培养高技能人才，完善人才激励制度。</w:t>
      </w:r>
    </w:p>
    <w:p w14:paraId="572CE75F">
      <w:pPr>
        <w:widowControl/>
        <w:ind w:firstLine="643" w:firstLineChars="200"/>
        <w:textAlignment w:val="baseline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第六部分：保障措施。</w:t>
      </w:r>
      <w:r>
        <w:rPr>
          <w:rFonts w:hint="eastAsia" w:ascii="仿宋_GB2312" w:hAnsi="Calibri" w:eastAsia="仿宋_GB2312" w:cs="Times New Roman"/>
          <w:sz w:val="32"/>
          <w:szCs w:val="32"/>
        </w:rPr>
        <w:t>分别是围绕加强组织协调、加强要素保障、优化营商环境、强化项目支撑、加强规划监督等5</w:t>
      </w:r>
      <w:r>
        <w:rPr>
          <w:rFonts w:ascii="仿宋_GB2312" w:hAnsi="Calibri" w:eastAsia="仿宋_GB2312" w:cs="Times New Roman"/>
          <w:sz w:val="32"/>
          <w:szCs w:val="32"/>
        </w:rPr>
        <w:t>个方面提出具体保障措施。</w:t>
      </w:r>
    </w:p>
    <w:p w14:paraId="68BFCBA1">
      <w:pPr>
        <w:widowControl/>
        <w:ind w:firstLine="643" w:firstLineChars="200"/>
        <w:textAlignment w:val="baseline"/>
        <w:rPr>
          <w:rFonts w:ascii="仿宋_GB2312" w:hAnsi="Calibri" w:eastAsia="仿宋_GB2312" w:cs="Times New Roman"/>
          <w:b/>
          <w:bCs/>
          <w:sz w:val="32"/>
          <w:szCs w:val="32"/>
        </w:rPr>
      </w:pPr>
    </w:p>
    <w:p w14:paraId="430806F2">
      <w:pPr>
        <w:widowControl/>
        <w:ind w:firstLine="643" w:firstLineChars="200"/>
        <w:textAlignment w:val="baseline"/>
        <w:rPr>
          <w:rFonts w:hint="eastAsia" w:ascii="仿宋_GB2312" w:hAnsi="Calibri" w:eastAsia="仿宋_GB2312" w:cs="Times New Roman"/>
          <w:b/>
          <w:bCs/>
          <w:sz w:val="32"/>
          <w:szCs w:val="32"/>
        </w:rPr>
      </w:pPr>
    </w:p>
    <w:p w14:paraId="7470B4CC">
      <w:pPr>
        <w:rPr>
          <w:rFonts w:hint="eastAsia" w:ascii="Calibri" w:hAnsi="Calibri" w:eastAsia="宋体" w:cs="Times New Roman"/>
          <w:szCs w:val="21"/>
        </w:rPr>
      </w:pPr>
    </w:p>
    <w:p w14:paraId="28BDCA17">
      <w:pPr>
        <w:rPr>
          <w:rFonts w:hint="eastAsia" w:ascii="方正小标宋_GBK" w:eastAsia="方正小标宋_GBK"/>
          <w:sz w:val="44"/>
          <w:szCs w:val="44"/>
        </w:rPr>
      </w:pPr>
    </w:p>
    <w:p w14:paraId="6EA06AE7"/>
    <w:p w14:paraId="6C8E5C70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161468"/>
      <w:docPartObj>
        <w:docPartGallery w:val="AutoText"/>
      </w:docPartObj>
    </w:sdtPr>
    <w:sdtContent>
      <w:p w14:paraId="1E32E24F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4E"/>
    <w:rsid w:val="000F0420"/>
    <w:rsid w:val="00294073"/>
    <w:rsid w:val="004D33E5"/>
    <w:rsid w:val="006B514E"/>
    <w:rsid w:val="0096329F"/>
    <w:rsid w:val="00AD779E"/>
    <w:rsid w:val="00AE6C6C"/>
    <w:rsid w:val="00B975F5"/>
    <w:rsid w:val="00E128BB"/>
    <w:rsid w:val="00E42F97"/>
    <w:rsid w:val="00EB1FAF"/>
    <w:rsid w:val="00F03F1B"/>
    <w:rsid w:val="FF8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1478</Characters>
  <Lines>12</Lines>
  <Paragraphs>3</Paragraphs>
  <TotalTime>32</TotalTime>
  <ScaleCrop>false</ScaleCrop>
  <LinksUpToDate>false</LinksUpToDate>
  <CharactersWithSpaces>1734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2024-06-17T13:28:00Z</dcterms:created>
  <dc:creator>ting Yang</dc:creator>
  <cp:lastModifiedBy>七</cp:lastModifiedBy>
  <dcterms:modified xsi:type="dcterms:W3CDTF">2025-04-28T10:03:07Z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12DFB74258F93F4ADBE10E68A6E0412A_43</vt:lpwstr>
  </property>
</Properties>
</file>