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东阳</w:t>
      </w:r>
      <w:r>
        <w:rPr>
          <w:rFonts w:hint="eastAsia" w:ascii="方正小标宋简体" w:hAnsi="方正小标宋简体" w:eastAsia="方正小标宋简体" w:cs="方正小标宋简体"/>
          <w:b w:val="0"/>
          <w:bCs/>
          <w:sz w:val="44"/>
          <w:szCs w:val="44"/>
        </w:rPr>
        <w:t>市</w:t>
      </w:r>
      <w:r>
        <w:rPr>
          <w:rFonts w:hint="eastAsia" w:ascii="方正小标宋简体" w:hAnsi="方正小标宋简体" w:eastAsia="方正小标宋简体" w:cs="方正小标宋简体"/>
          <w:b w:val="0"/>
          <w:bCs/>
          <w:sz w:val="44"/>
          <w:szCs w:val="44"/>
          <w:lang w:eastAsia="zh-CN"/>
        </w:rPr>
        <w:t>城市核心区</w:t>
      </w:r>
      <w:r>
        <w:rPr>
          <w:rFonts w:hint="eastAsia" w:ascii="方正小标宋简体" w:hAnsi="方正小标宋简体" w:eastAsia="方正小标宋简体" w:cs="方正小标宋简体"/>
          <w:b w:val="0"/>
          <w:bCs/>
          <w:sz w:val="44"/>
          <w:szCs w:val="44"/>
        </w:rPr>
        <w:t>房屋重置价格</w:t>
      </w:r>
      <w:r>
        <w:rPr>
          <w:rFonts w:hint="eastAsia" w:ascii="方正小标宋简体" w:hAnsi="方正小标宋简体" w:eastAsia="方正小标宋简体" w:cs="方正小标宋简体"/>
          <w:b w:val="0"/>
          <w:bCs/>
          <w:sz w:val="44"/>
          <w:szCs w:val="44"/>
          <w:lang w:eastAsia="zh-CN"/>
        </w:rPr>
        <w:t>和房屋地面附属物补偿标准</w:t>
      </w:r>
      <w:r>
        <w:rPr>
          <w:rFonts w:hint="eastAsia" w:ascii="方正小标宋简体" w:hAnsi="方正小标宋简体" w:eastAsia="方正小标宋简体" w:cs="方正小标宋简体"/>
          <w:b w:val="0"/>
          <w:bCs/>
          <w:sz w:val="44"/>
          <w:szCs w:val="44"/>
          <w:lang w:val="en-US" w:eastAsia="zh-CN"/>
        </w:rPr>
        <w:t>(征求意见稿)</w:t>
      </w:r>
    </w:p>
    <w:p>
      <w:pPr>
        <w:jc w:val="center"/>
        <w:rPr>
          <w:rFonts w:hint="eastAsia" w:ascii="仿宋_GB2312" w:hAnsi="仿宋_GB2312" w:eastAsia="仿宋_GB2312" w:cs="仿宋_GB2312"/>
          <w:b/>
          <w:sz w:val="36"/>
          <w:szCs w:val="36"/>
        </w:rPr>
      </w:pPr>
      <w:bookmarkStart w:id="0" w:name="_GoBack"/>
      <w:bookmarkEnd w:id="0"/>
    </w:p>
    <w:p>
      <w:pPr>
        <w:spacing w:line="360" w:lineRule="auto"/>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规定，房屋的重置价格包括建筑安装工程费、前期工程费、小区内配套</w:t>
      </w:r>
      <w:r>
        <w:rPr>
          <w:rFonts w:hint="eastAsia" w:ascii="仿宋_GB2312" w:hAnsi="仿宋_GB2312" w:eastAsia="仿宋_GB2312" w:cs="仿宋_GB2312"/>
          <w:sz w:val="32"/>
          <w:szCs w:val="32"/>
          <w:highlight w:val="none"/>
        </w:rPr>
        <w:t>设施费。</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重置价</w:t>
      </w:r>
      <w:r>
        <w:rPr>
          <w:rFonts w:hint="eastAsia" w:ascii="仿宋_GB2312" w:hAnsi="仿宋_GB2312" w:eastAsia="仿宋_GB2312" w:cs="仿宋_GB2312"/>
          <w:sz w:val="32"/>
          <w:szCs w:val="32"/>
          <w:highlight w:val="none"/>
          <w:lang w:eastAsia="zh-CN"/>
        </w:rPr>
        <w:t>参考依据为</w:t>
      </w:r>
      <w:r>
        <w:rPr>
          <w:rFonts w:hint="eastAsia" w:ascii="仿宋_GB2312" w:hAnsi="仿宋_GB2312" w:eastAsia="仿宋_GB2312" w:cs="仿宋_GB2312"/>
          <w:sz w:val="32"/>
          <w:szCs w:val="32"/>
          <w:highlight w:val="none"/>
        </w:rPr>
        <w:t>2022年信息平均价</w:t>
      </w:r>
      <w:r>
        <w:rPr>
          <w:rFonts w:hint="eastAsia" w:ascii="仿宋_GB2312" w:hAnsi="仿宋_GB2312" w:eastAsia="仿宋_GB2312" w:cs="仿宋_GB2312"/>
          <w:sz w:val="32"/>
          <w:szCs w:val="32"/>
          <w:highlight w:val="none"/>
          <w:lang w:val="en-US" w:eastAsia="zh-CN"/>
        </w:rPr>
        <w:t>。</w:t>
      </w:r>
    </w:p>
    <w:p>
      <w:pPr>
        <w:spacing w:line="360" w:lineRule="auto"/>
        <w:ind w:firstLine="56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本房屋重置价格适用于</w:t>
      </w:r>
      <w:r>
        <w:rPr>
          <w:rFonts w:hint="eastAsia" w:ascii="仿宋_GB2312" w:hAnsi="仿宋_GB2312" w:eastAsia="仿宋_GB2312" w:cs="仿宋_GB2312"/>
          <w:sz w:val="32"/>
          <w:szCs w:val="32"/>
          <w:lang w:val="en-US" w:eastAsia="zh-CN"/>
        </w:rPr>
        <w:t>东阳市</w:t>
      </w:r>
      <w:r>
        <w:rPr>
          <w:rFonts w:hint="default" w:ascii="仿宋_GB2312" w:hAnsi="仿宋_GB2312" w:eastAsia="仿宋_GB2312" w:cs="仿宋_GB2312"/>
          <w:sz w:val="32"/>
          <w:szCs w:val="32"/>
        </w:rPr>
        <w:t>城市核心区范围内</w:t>
      </w:r>
      <w:r>
        <w:rPr>
          <w:rFonts w:hint="eastAsia" w:ascii="仿宋_GB2312" w:hAnsi="仿宋_GB2312" w:eastAsia="仿宋_GB2312" w:cs="仿宋_GB2312"/>
          <w:sz w:val="32"/>
          <w:szCs w:val="32"/>
          <w:lang w:eastAsia="zh-CN"/>
        </w:rPr>
        <w:t>没有联体式排屋或屋基安置方式的项目。</w:t>
      </w:r>
      <w:r>
        <w:rPr>
          <w:rFonts w:hint="eastAsia" w:ascii="仿宋_GB2312" w:hAnsi="仿宋_GB2312" w:eastAsia="仿宋_GB2312" w:cs="仿宋_GB2312"/>
          <w:sz w:val="32"/>
          <w:szCs w:val="32"/>
          <w:lang w:val="en-US" w:eastAsia="zh-CN"/>
        </w:rPr>
        <w:t>城市核心区范围为</w:t>
      </w:r>
      <w:r>
        <w:rPr>
          <w:rFonts w:hint="default" w:ascii="仿宋_GB2312" w:hAnsi="仿宋_GB2312" w:eastAsia="仿宋_GB2312" w:cs="仿宋_GB2312"/>
          <w:sz w:val="32"/>
          <w:szCs w:val="32"/>
        </w:rPr>
        <w:t>东至迎宾大道、南至南山脚、西至义乌界、北至甬金高速。</w:t>
      </w:r>
    </w:p>
    <w:tbl>
      <w:tblPr>
        <w:tblStyle w:val="4"/>
        <w:tblpPr w:leftFromText="180" w:rightFromText="180" w:vertAnchor="text" w:horzAnchor="page" w:tblpX="1006" w:tblpY="677"/>
        <w:tblOverlap w:val="never"/>
        <w:tblW w:w="10591"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66"/>
        <w:gridCol w:w="570"/>
        <w:gridCol w:w="7593"/>
        <w:gridCol w:w="136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7" w:hRule="atLeast"/>
        </w:trPr>
        <w:tc>
          <w:tcPr>
            <w:tcW w:w="10591" w:type="dxa"/>
            <w:gridSpan w:val="4"/>
            <w:tcBorders>
              <w:bottom w:val="single" w:color="000000" w:sz="4" w:space="0"/>
            </w:tcBorders>
            <w:noWrap/>
            <w:tcMar>
              <w:top w:w="15" w:type="dxa"/>
              <w:left w:w="15" w:type="dxa"/>
              <w:right w:w="15" w:type="dxa"/>
            </w:tcMar>
            <w:vAlign w:val="center"/>
          </w:tcPr>
          <w:p>
            <w:pPr>
              <w:keepNext w:val="0"/>
              <w:keepLines w:val="0"/>
              <w:pageBreakBefore w:val="0"/>
              <w:widowControl/>
              <w:tabs>
                <w:tab w:val="center" w:pos="2429"/>
                <w:tab w:val="left" w:pos="3765"/>
              </w:tabs>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28"/>
                <w:szCs w:val="28"/>
              </w:rPr>
            </w:pPr>
            <w:r>
              <w:rPr>
                <w:rFonts w:hint="eastAsia" w:ascii="宋体" w:hAnsi="宋体" w:eastAsia="宋体" w:cs="宋体"/>
                <w:b/>
                <w:color w:val="000000"/>
                <w:sz w:val="30"/>
                <w:szCs w:val="30"/>
                <w:lang w:eastAsia="zh-CN"/>
              </w:rPr>
              <w:t>房屋重置价格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5" w:hRule="atLeast"/>
        </w:trPr>
        <w:tc>
          <w:tcPr>
            <w:tcW w:w="1066" w:type="dxa"/>
            <w:tcBorders>
              <w:top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4"/>
              </w:rPr>
            </w:pPr>
            <w:r>
              <w:rPr>
                <w:rFonts w:hint="eastAsia" w:ascii="宋体" w:hAnsi="宋体" w:eastAsia="宋体" w:cs="宋体"/>
                <w:kern w:val="0"/>
                <w:sz w:val="24"/>
              </w:rPr>
              <w:t>结构形式</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4"/>
              </w:rPr>
            </w:pPr>
            <w:r>
              <w:rPr>
                <w:rFonts w:hint="eastAsia" w:ascii="宋体" w:hAnsi="宋体" w:eastAsia="宋体" w:cs="宋体"/>
                <w:kern w:val="0"/>
                <w:sz w:val="24"/>
              </w:rPr>
              <w:t>等级</w:t>
            </w:r>
          </w:p>
        </w:tc>
        <w:tc>
          <w:tcPr>
            <w:tcW w:w="75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sz w:val="24"/>
              </w:rPr>
            </w:pPr>
            <w:r>
              <w:rPr>
                <w:rFonts w:hint="eastAsia" w:ascii="宋体" w:hAnsi="宋体" w:eastAsia="宋体" w:cs="宋体"/>
                <w:kern w:val="0"/>
                <w:sz w:val="24"/>
              </w:rPr>
              <w:t>等级说明</w:t>
            </w:r>
          </w:p>
        </w:tc>
        <w:tc>
          <w:tcPr>
            <w:tcW w:w="1362" w:type="dxa"/>
            <w:tcBorders>
              <w:top w:val="single" w:color="auto" w:sz="4" w:space="0"/>
              <w:left w:val="single" w:color="000000" w:sz="4" w:space="0"/>
              <w:bottom w:val="single" w:color="000000" w:sz="4" w:space="0"/>
            </w:tcBorders>
            <w:noWrap/>
            <w:tcMar>
              <w:top w:w="15" w:type="dxa"/>
              <w:left w:w="15" w:type="dxa"/>
              <w:right w:w="15" w:type="dxa"/>
            </w:tcMar>
            <w:vAlign w:val="center"/>
          </w:tcPr>
          <w:p>
            <w:pPr>
              <w:keepNext w:val="0"/>
              <w:keepLines w:val="0"/>
              <w:pageBreakBefore w:val="0"/>
              <w:widowControl/>
              <w:tabs>
                <w:tab w:val="center" w:pos="2429"/>
                <w:tab w:val="left" w:pos="3765"/>
              </w:tabs>
              <w:kinsoku/>
              <w:wordWrap/>
              <w:overflowPunct/>
              <w:topLinePunct w:val="0"/>
              <w:autoSpaceDE/>
              <w:autoSpaceDN/>
              <w:bidi w:val="0"/>
              <w:adjustRightInd/>
              <w:snapToGrid/>
              <w:spacing w:line="280" w:lineRule="exact"/>
              <w:jc w:val="center"/>
              <w:textAlignment w:val="center"/>
              <w:rPr>
                <w:rFonts w:ascii="宋体" w:hAnsi="宋体" w:cs="宋体"/>
                <w:kern w:val="0"/>
                <w:sz w:val="24"/>
              </w:rPr>
            </w:pPr>
            <w:r>
              <w:rPr>
                <w:rFonts w:hint="eastAsia" w:ascii="宋体" w:hAnsi="宋体" w:eastAsia="宋体" w:cs="宋体"/>
                <w:kern w:val="0"/>
                <w:sz w:val="24"/>
              </w:rPr>
              <w:t>单价（</w:t>
            </w:r>
            <w:r>
              <w:rPr>
                <w:rFonts w:hint="eastAsia" w:ascii="宋体" w:hAnsi="宋体" w:eastAsia="宋体" w:cs="宋体"/>
                <w:kern w:val="0"/>
                <w:sz w:val="24"/>
                <w:lang w:val="en-US" w:eastAsia="zh-CN"/>
              </w:rPr>
              <w:t>元/㎡</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40" w:hRule="atLeast"/>
        </w:trPr>
        <w:tc>
          <w:tcPr>
            <w:tcW w:w="1066" w:type="dxa"/>
            <w:vMerge w:val="restart"/>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eastAsia="宋体" w:cs="宋体"/>
                <w:kern w:val="0"/>
                <w:sz w:val="24"/>
              </w:rPr>
              <w:t>钢筋混凝土剪力墙结构</w:t>
            </w:r>
            <w:r>
              <w:rPr>
                <w:rFonts w:hint="eastAsia" w:ascii="宋体" w:hAnsi="宋体" w:eastAsia="宋体" w:cs="宋体"/>
                <w:kern w:val="0"/>
                <w:sz w:val="24"/>
              </w:rPr>
              <w:br w:type="textWrapping"/>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钢砼一等</w:t>
            </w:r>
          </w:p>
        </w:tc>
        <w:tc>
          <w:tcPr>
            <w:tcW w:w="7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框架--剪力墙结构，层数在17层以上（含17层），有地下室，钢砼满堂基础或桩基础，砌块墙，楼地面为水泥砂浆（或细石砼）找平，屋面保温层、防水层、刚性屋面,外墙高级抹灰、部分干挂或玻璃幕墙、面砖饰面或喷涂，入户防火防盗门，铝合金窗。水电厨卫齐全，电梯、消防喷淋系统管理设施完好。</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2841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0" w:hRule="atLeast"/>
        </w:trPr>
        <w:tc>
          <w:tcPr>
            <w:tcW w:w="1066"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钢砼二等</w:t>
            </w:r>
          </w:p>
        </w:tc>
        <w:tc>
          <w:tcPr>
            <w:tcW w:w="7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框架--剪力墙结构，层数在10-16层，有地下室，钢砼满堂基础或桩基础，砌块墙，楼地面为水泥砂浆（或细石砼）找平，屋面保温层、防水层、刚性屋面，外墙高级抹灰、部分干挂或玻璃幕墙、面砖饰面或喷涂，入户防火防盗门，铝合金窗。水电厨卫齐全，电梯、消防喷淋系统管理设施完好。</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2761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0" w:hRule="atLeast"/>
        </w:trPr>
        <w:tc>
          <w:tcPr>
            <w:tcW w:w="1066" w:type="dxa"/>
            <w:vMerge w:val="continue"/>
            <w:tcBorders>
              <w:top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钢砼三等</w:t>
            </w:r>
          </w:p>
        </w:tc>
        <w:tc>
          <w:tcPr>
            <w:tcW w:w="7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框架--剪力墙结构，层数10层以下（含），钢砼满堂基础或桩基础，砌块墙，楼地面为水泥砂浆（或细石砼）找平，屋面保温层、防水层、刚性屋面，外墙高级抹灰、面砖饰面或喷涂，入户防盗门，铝合金窗。水电厨卫齐全，电梯、消防喷淋系统管理设施完好。</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2341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9" w:hRule="atLeast"/>
        </w:trPr>
        <w:tc>
          <w:tcPr>
            <w:tcW w:w="1066" w:type="dxa"/>
            <w:vMerge w:val="restart"/>
            <w:tcBorders>
              <w:top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钢筋混凝土结构</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钢砼一等</w:t>
            </w:r>
          </w:p>
        </w:tc>
        <w:tc>
          <w:tcPr>
            <w:tcW w:w="7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框架结构，层数在7层以上，有地下室或架空层，钢砼满堂基础或桩基础，标准砖墙或砌块墙，楼地面为水泥砂浆（或细石砼）找平，屋面保温层、防水层、刚性屋面，外墙较好抹灰、面砖饰面或喷涂，入户防盗门，铝合金窗。水电厨卫齐全，消防喷淋系统管理设施完好。</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2441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3" w:hRule="atLeast"/>
        </w:trPr>
        <w:tc>
          <w:tcPr>
            <w:tcW w:w="1066" w:type="dxa"/>
            <w:vMerge w:val="continue"/>
            <w:tcBorders>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钢砼二等</w:t>
            </w:r>
          </w:p>
        </w:tc>
        <w:tc>
          <w:tcPr>
            <w:tcW w:w="75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框架结构，层数在7层以下（含7层），有地下室或架空层，钢砼独立基础或桩基础，标准砖墙或砌块墙，全现浇楼板，普通楼地面，现浇楼梯，现浇屋面或现浇斜屋面板加盖平瓦，外墙较好抹灰、面砖饰面或喷涂，入户防盗门，铝合金窗。水电厨卫齐全。</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9</w:t>
            </w:r>
            <w:r>
              <w:rPr>
                <w:rFonts w:hint="eastAsia" w:ascii="宋体" w:hAnsi="宋体" w:eastAsia="宋体" w:cs="宋体"/>
                <w:kern w:val="0"/>
                <w:sz w:val="24"/>
              </w:rPr>
              <w:t>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8" w:hRule="atLeast"/>
        </w:trPr>
        <w:tc>
          <w:tcPr>
            <w:tcW w:w="1066" w:type="dxa"/>
            <w:vMerge w:val="restart"/>
            <w:tcBorders>
              <w:top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eastAsia="宋体" w:cs="宋体"/>
                <w:kern w:val="0"/>
                <w:sz w:val="24"/>
              </w:rPr>
              <w:t>砖混结构</w:t>
            </w:r>
            <w:r>
              <w:rPr>
                <w:rFonts w:hint="eastAsia" w:ascii="宋体" w:hAnsi="宋体" w:eastAsia="宋体" w:cs="宋体"/>
                <w:kern w:val="0"/>
                <w:sz w:val="24"/>
              </w:rPr>
              <w:br w:type="textWrapping"/>
            </w:r>
          </w:p>
        </w:tc>
        <w:tc>
          <w:tcPr>
            <w:tcW w:w="57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砖混一等</w:t>
            </w:r>
          </w:p>
        </w:tc>
        <w:tc>
          <w:tcPr>
            <w:tcW w:w="7593"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标准砖墙或砌块墙，部分钢砼梁、柱承重，构造柱、钢砼圈梁，满堂基础或杯形基础，全现浇楼板，普通楼地面，现浇楼梯，现浇屋面或现浇斜屋面板加盖平瓦，内墙普通抹灰，外墙高级抹灰、面砖饰面或喷涂，入户防盗门，铝合金窗。水电齐全、厨卫设施按层配套。</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p>
          <w:p>
            <w:pPr>
              <w:widowControl/>
              <w:jc w:val="center"/>
              <w:textAlignment w:val="center"/>
              <w:rPr>
                <w:rFonts w:ascii="宋体" w:hAnsi="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81</w:t>
            </w:r>
            <w:r>
              <w:rPr>
                <w:rFonts w:hint="eastAsia" w:ascii="宋体" w:hAnsi="宋体" w:eastAsia="宋体" w:cs="宋体"/>
                <w:kern w:val="0"/>
                <w:sz w:val="24"/>
              </w:rPr>
              <w:t>1</w:t>
            </w:r>
          </w:p>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73" w:hRule="atLeast"/>
        </w:trPr>
        <w:tc>
          <w:tcPr>
            <w:tcW w:w="1066" w:type="dxa"/>
            <w:vMerge w:val="continue"/>
            <w:tcBorders>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c>
          <w:tcPr>
            <w:tcW w:w="5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砖混二等</w:t>
            </w:r>
          </w:p>
        </w:tc>
        <w:tc>
          <w:tcPr>
            <w:tcW w:w="7593"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标准砖墙或砌块墙，部分钢砼梁、构造柱承重，钢砼圈梁，浆砌块石基础或毛石砼条形基础，预制或部分现浇楼板，普通楼地面，现浇楼梯，刚性屋面或平瓦屋面，内墙普通抹灰，外墙较好抹灰、面砖饰面或喷涂，入户防盗门，铝合金窗或钢窗。水电齐全、厨卫设施按层配套。</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1561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9" w:hRule="atLeast"/>
        </w:trPr>
        <w:tc>
          <w:tcPr>
            <w:tcW w:w="1066" w:type="dxa"/>
            <w:vMerge w:val="continue"/>
            <w:tcBorders>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p>
        </w:tc>
        <w:tc>
          <w:tcPr>
            <w:tcW w:w="57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砖混三等</w:t>
            </w:r>
          </w:p>
        </w:tc>
        <w:tc>
          <w:tcPr>
            <w:tcW w:w="7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砖墙砌筑，部分钢砼梁，部分钢砼圈梁，浆砌块石基础，预制楼板或小量现浇楼板，普通楼地面，预制楼梯，刚性屋面或平瓦屋面，内墙普通抹灰，外墙一般抹灰、面砖饰面或喷涂、入户防盗门、铝合金窗或钢窗。水电齐全、厨卫按层或幢设施。</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1491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1" w:hRule="atLeast"/>
        </w:trPr>
        <w:tc>
          <w:tcPr>
            <w:tcW w:w="1066" w:type="dxa"/>
            <w:vMerge w:val="continue"/>
            <w:tcBorders>
              <w:top w:val="single" w:color="auto"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57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砖混四等</w:t>
            </w:r>
          </w:p>
        </w:tc>
        <w:tc>
          <w:tcPr>
            <w:tcW w:w="7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砖墙砌筑，块石基础，少量钢砼梁，预制楼板，普通楼地面，平瓦屋面或预制屋面（隔热层），内外墙普通抹灰，木门窗，水电齐全。</w:t>
            </w:r>
          </w:p>
        </w:tc>
        <w:tc>
          <w:tcPr>
            <w:tcW w:w="1362" w:type="dxa"/>
            <w:tcBorders>
              <w:top w:val="single" w:color="000000"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1381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9" w:hRule="atLeast"/>
        </w:trPr>
        <w:tc>
          <w:tcPr>
            <w:tcW w:w="1066" w:type="dxa"/>
            <w:vMerge w:val="restart"/>
            <w:tcBorders>
              <w:top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eastAsia="宋体" w:cs="宋体"/>
                <w:kern w:val="0"/>
                <w:sz w:val="24"/>
              </w:rPr>
              <w:t>砖木结构</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砖木一等</w:t>
            </w:r>
          </w:p>
        </w:tc>
        <w:tc>
          <w:tcPr>
            <w:tcW w:w="7593"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较好木梁柱或标准砖墙、砖柱承重，木屋架，条石或块石基础，水泥地面，木楼板，内外墙粉刷，琉璃瓦或平瓦、小青瓦屋面，门窗较好，</w:t>
            </w:r>
            <w:r>
              <w:rPr>
                <w:rFonts w:hint="eastAsia" w:ascii="宋体" w:hAnsi="宋体" w:eastAsia="宋体" w:cs="宋体"/>
                <w:sz w:val="24"/>
              </w:rPr>
              <w:t>水电卫齐全，雕刻工艺好。</w:t>
            </w:r>
          </w:p>
        </w:tc>
        <w:tc>
          <w:tcPr>
            <w:tcW w:w="1362" w:type="dxa"/>
            <w:tcBorders>
              <w:top w:val="single" w:color="auto"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eastAsiaTheme="minorEastAsia"/>
                <w:bCs/>
                <w:kern w:val="0"/>
                <w:sz w:val="24"/>
                <w:lang w:val="en-US" w:eastAsia="zh-CN"/>
              </w:rPr>
            </w:pPr>
            <w:r>
              <w:rPr>
                <w:rFonts w:hint="eastAsia" w:ascii="宋体" w:hAnsi="宋体" w:eastAsia="宋体" w:cs="宋体"/>
                <w:bCs/>
                <w:kern w:val="0"/>
                <w:sz w:val="24"/>
                <w:lang w:val="en-US" w:eastAsia="zh-CN"/>
              </w:rPr>
              <w:t>935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7" w:hRule="atLeast"/>
        </w:trPr>
        <w:tc>
          <w:tcPr>
            <w:tcW w:w="1066" w:type="dxa"/>
            <w:vMerge w:val="continue"/>
            <w:tcBorders>
              <w:top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砖木二等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较差砖墙砌筑或木柱承重，一般木屋架或木檀条，条石或块石基础，水泥地面或三合土地面，普通木楼板，内外墙一般粉刷或无粉刷，一般屋面，门窗一般，</w:t>
            </w:r>
            <w:r>
              <w:rPr>
                <w:rFonts w:hint="eastAsia" w:ascii="宋体" w:hAnsi="宋体" w:eastAsia="宋体" w:cs="宋体"/>
                <w:sz w:val="24"/>
              </w:rPr>
              <w:t>水电卫齐全，</w:t>
            </w:r>
            <w:r>
              <w:rPr>
                <w:rFonts w:hint="eastAsia" w:ascii="宋体" w:hAnsi="宋体" w:eastAsia="宋体" w:cs="宋体"/>
                <w:kern w:val="0"/>
                <w:sz w:val="24"/>
              </w:rPr>
              <w:t>简易</w:t>
            </w:r>
            <w:r>
              <w:rPr>
                <w:rFonts w:hint="eastAsia" w:ascii="宋体" w:hAnsi="宋体" w:eastAsia="宋体" w:cs="宋体"/>
                <w:sz w:val="24"/>
              </w:rPr>
              <w:t>雕刻工艺。</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bCs/>
                <w:kern w:val="0"/>
                <w:sz w:val="24"/>
              </w:rPr>
            </w:pPr>
          </w:p>
          <w:p>
            <w:pPr>
              <w:widowControl/>
              <w:jc w:val="center"/>
              <w:textAlignment w:val="center"/>
              <w:rPr>
                <w:rFonts w:ascii="宋体" w:hAnsi="宋体" w:cs="宋体"/>
                <w:bCs/>
                <w:kern w:val="0"/>
                <w:sz w:val="24"/>
              </w:rPr>
            </w:pPr>
            <w:r>
              <w:rPr>
                <w:rFonts w:hint="eastAsia" w:ascii="宋体" w:hAnsi="宋体" w:eastAsia="宋体" w:cs="宋体"/>
                <w:bCs/>
                <w:kern w:val="0"/>
                <w:sz w:val="24"/>
              </w:rPr>
              <w:t>664</w:t>
            </w:r>
          </w:p>
          <w:p>
            <w:pPr>
              <w:widowControl/>
              <w:jc w:val="center"/>
              <w:textAlignment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0" w:hRule="atLeast"/>
        </w:trPr>
        <w:tc>
          <w:tcPr>
            <w:tcW w:w="1066" w:type="dxa"/>
            <w:vMerge w:val="restart"/>
            <w:tcBorders>
              <w:top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p>
            <w:pPr>
              <w:widowControl/>
              <w:jc w:val="center"/>
              <w:textAlignment w:val="center"/>
              <w:rPr>
                <w:rFonts w:ascii="宋体" w:hAnsi="宋体" w:cs="宋体"/>
                <w:sz w:val="24"/>
              </w:rPr>
            </w:pPr>
            <w:r>
              <w:rPr>
                <w:rFonts w:hint="eastAsia" w:ascii="宋体" w:hAnsi="宋体" w:eastAsia="宋体" w:cs="宋体"/>
                <w:kern w:val="0"/>
                <w:sz w:val="24"/>
              </w:rPr>
              <w:t>其它结构</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砂混一等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sz w:val="24"/>
              </w:rPr>
              <w:t>砂墙承重，预制小梁现浇薄板或预制楼板，较好内外粉刷，水泥楼地面，有门窗，水电卫齐全。</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716</w:t>
            </w:r>
          </w:p>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3"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kern w:val="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砂混二等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sz w:val="24"/>
              </w:rPr>
              <w:t>砂墙承重，预制小梁现浇板，一般内外抹灰，水泥楼地面，有门窗，普通水、电。</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637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8" w:hRule="atLeast"/>
        </w:trPr>
        <w:tc>
          <w:tcPr>
            <w:tcW w:w="1066" w:type="dxa"/>
            <w:vMerge w:val="continue"/>
            <w:tcBorders>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其它一等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承重墙为泥木或沙墙承重，较好木屋架，普通木楼地板，小青瓦或平瓦屋面，一般内外抹灰，有门窗，水泥地或三合土地面。</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635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9"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其它二等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承重墙为泥木或沙墙承重，一般木屋架，较差木楼板，小青瓦或平瓦屋面，有门窗，局部或较差内外抹灰。</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503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8" w:hRule="atLeast"/>
        </w:trPr>
        <w:tc>
          <w:tcPr>
            <w:tcW w:w="1066" w:type="dxa"/>
            <w:vMerge w:val="continue"/>
            <w:tcBorders>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其它三等</w:t>
            </w:r>
          </w:p>
        </w:tc>
        <w:tc>
          <w:tcPr>
            <w:tcW w:w="759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eastAsia="宋体" w:cs="宋体"/>
                <w:kern w:val="0"/>
                <w:sz w:val="24"/>
              </w:rPr>
              <w:t>较差简易、泥、木（竹）结构，较差旧式木门窗；一般内抹灰，煤屑地或泥地。</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eastAsia="宋体" w:cs="宋体"/>
                <w:kern w:val="0"/>
                <w:sz w:val="24"/>
              </w:rPr>
              <w:t>345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4" w:hRule="atLeast"/>
        </w:trPr>
        <w:tc>
          <w:tcPr>
            <w:tcW w:w="1066" w:type="dxa"/>
            <w:vMerge w:val="restart"/>
            <w:tcBorders>
              <w:top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4"/>
              </w:rPr>
            </w:pPr>
            <w:r>
              <w:rPr>
                <w:rFonts w:hint="eastAsia" w:ascii="宋体" w:hAnsi="宋体" w:eastAsia="宋体" w:cs="宋体"/>
                <w:sz w:val="24"/>
              </w:rPr>
              <w:t>其它</w:t>
            </w:r>
          </w:p>
        </w:tc>
        <w:tc>
          <w:tcPr>
            <w:tcW w:w="8163"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剪力墙地下室</w:t>
            </w:r>
          </w:p>
        </w:tc>
        <w:tc>
          <w:tcPr>
            <w:tcW w:w="1362" w:type="dxa"/>
            <w:tcBorders>
              <w:top w:val="single" w:color="000000" w:sz="4" w:space="0"/>
              <w:left w:val="single" w:color="auto"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kern w:val="0"/>
                <w:sz w:val="24"/>
                <w:lang w:val="en-US"/>
              </w:rPr>
            </w:pPr>
            <w:r>
              <w:rPr>
                <w:rFonts w:hint="eastAsia" w:ascii="宋体" w:hAnsi="宋体" w:eastAsia="宋体" w:cs="宋体"/>
                <w:kern w:val="0"/>
                <w:sz w:val="24"/>
                <w:lang w:val="en-US" w:eastAsia="zh-CN"/>
              </w:rPr>
              <w:t>2761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4" w:hRule="atLeast"/>
        </w:trPr>
        <w:tc>
          <w:tcPr>
            <w:tcW w:w="1066" w:type="dxa"/>
            <w:vMerge w:val="continue"/>
            <w:tcBorders>
              <w:top w:val="single" w:color="auto"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8163"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eastAsia="宋体" w:cs="宋体"/>
                <w:kern w:val="0"/>
                <w:sz w:val="24"/>
              </w:rPr>
              <w:t>砖墙地下室</w:t>
            </w:r>
          </w:p>
        </w:tc>
        <w:tc>
          <w:tcPr>
            <w:tcW w:w="1362"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eastAsiaTheme="minorEastAsia"/>
                <w:kern w:val="0"/>
                <w:sz w:val="24"/>
                <w:lang w:val="en-US" w:eastAsia="zh-CN"/>
              </w:rPr>
            </w:pPr>
            <w:r>
              <w:rPr>
                <w:rFonts w:hint="eastAsia" w:ascii="宋体" w:hAnsi="宋体" w:eastAsia="宋体" w:cs="宋体"/>
                <w:kern w:val="0"/>
                <w:sz w:val="24"/>
                <w:lang w:val="en-US" w:eastAsia="zh-CN"/>
              </w:rPr>
              <w:t>1631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4" w:hRule="atLeast"/>
        </w:trPr>
        <w:tc>
          <w:tcPr>
            <w:tcW w:w="1066" w:type="dxa"/>
            <w:vMerge w:val="continue"/>
            <w:tcBorders>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9525" w:type="dxa"/>
            <w:gridSpan w:val="3"/>
            <w:tcBorders>
              <w:top w:val="single" w:color="000000" w:sz="4" w:space="0"/>
              <w:left w:val="single" w:color="000000" w:sz="4" w:space="0"/>
            </w:tcBorders>
            <w:noWrap/>
            <w:tcMar>
              <w:top w:w="15" w:type="dxa"/>
              <w:left w:w="15" w:type="dxa"/>
              <w:right w:w="15" w:type="dxa"/>
            </w:tcMar>
            <w:vAlign w:val="center"/>
          </w:tcPr>
          <w:p>
            <w:pPr>
              <w:widowControl/>
              <w:textAlignment w:val="center"/>
              <w:rPr>
                <w:rFonts w:ascii="宋体" w:hAnsi="宋体" w:cs="宋体"/>
                <w:kern w:val="0"/>
                <w:sz w:val="24"/>
              </w:rPr>
            </w:pPr>
            <w:r>
              <w:rPr>
                <w:rFonts w:hint="eastAsia" w:ascii="宋体" w:hAnsi="宋体" w:eastAsia="宋体" w:cs="宋体"/>
                <w:kern w:val="0"/>
                <w:sz w:val="24"/>
              </w:rPr>
              <w:t>2.2米以下架空层按主体价格二分之一计算，阁楼按主体价格二分之一计算</w:t>
            </w:r>
          </w:p>
        </w:tc>
      </w:tr>
    </w:tbl>
    <w:p>
      <w:pPr>
        <w:rPr>
          <w:rFonts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eastAsia="zh-CN"/>
        </w:rPr>
        <w:t>说明：</w:t>
      </w:r>
      <w:r>
        <w:rPr>
          <w:rFonts w:hint="eastAsia" w:ascii="宋体" w:hAnsi="宋体" w:eastAsia="宋体" w:cs="宋体"/>
          <w:lang w:val="en-US" w:eastAsia="zh-CN"/>
        </w:rPr>
        <w:t>1、</w:t>
      </w:r>
      <w:r>
        <w:rPr>
          <w:rFonts w:hint="eastAsia" w:ascii="宋体" w:hAnsi="宋体" w:eastAsia="宋体" w:cs="宋体"/>
          <w:lang w:eastAsia="zh-CN"/>
        </w:rPr>
        <w:t>该</w:t>
      </w:r>
      <w:r>
        <w:rPr>
          <w:rFonts w:hint="eastAsia" w:ascii="宋体" w:hAnsi="宋体" w:eastAsia="宋体" w:cs="宋体"/>
          <w:lang w:val="en-US" w:eastAsia="zh-CN"/>
        </w:rPr>
        <w:t>房屋重置价格适用于除工业用房以外的房屋。</w:t>
      </w:r>
    </w:p>
    <w:p>
      <w:pPr>
        <w:rPr>
          <w:rFonts w:hint="default" w:ascii="宋体" w:hAnsi="宋体" w:eastAsia="宋体" w:cs="宋体"/>
          <w:lang w:val="en-US" w:eastAsia="zh-CN"/>
        </w:rPr>
      </w:pPr>
      <w:r>
        <w:rPr>
          <w:rFonts w:hint="eastAsia" w:ascii="宋体" w:hAnsi="宋体" w:eastAsia="宋体" w:cs="宋体"/>
          <w:lang w:val="en-US" w:eastAsia="zh-CN"/>
        </w:rPr>
        <w:t xml:space="preserve">      2、房屋重置价格附件，附件一：房屋成新率标准；附件二：房屋室内装饰装修补偿标准；附件三：房屋室外部分补偿标准。</w:t>
      </w:r>
    </w:p>
    <w:p>
      <w:pPr>
        <w:rPr>
          <w:rFonts w:ascii="宋体" w:hAnsi="宋体" w:eastAsia="宋体" w:cs="宋体"/>
          <w:color w:val="000000"/>
          <w:kern w:val="0"/>
          <w:sz w:val="24"/>
        </w:rPr>
      </w:pPr>
    </w:p>
    <w:p>
      <w:pPr>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附件一：</w:t>
      </w:r>
    </w:p>
    <w:p>
      <w:pPr>
        <w:tabs>
          <w:tab w:val="left" w:pos="4981"/>
        </w:tabs>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房屋成新率</w:t>
      </w:r>
      <w:r>
        <w:rPr>
          <w:rFonts w:hint="eastAsia" w:ascii="黑体" w:hAnsi="黑体" w:eastAsia="黑体" w:cs="黑体"/>
          <w:b w:val="0"/>
          <w:bCs/>
          <w:color w:val="000000"/>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 w:val="28"/>
          <w:szCs w:val="28"/>
        </w:rPr>
      </w:pPr>
    </w:p>
    <w:tbl>
      <w:tblPr>
        <w:tblStyle w:val="4"/>
        <w:tblpPr w:leftFromText="180" w:rightFromText="180" w:vertAnchor="text" w:horzAnchor="page" w:tblpX="1660" w:tblpY="260"/>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7"/>
        <w:gridCol w:w="1349"/>
        <w:gridCol w:w="1387"/>
        <w:gridCol w:w="1440"/>
        <w:gridCol w:w="1254"/>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1101" w:type="pct"/>
            <w:tcBorders>
              <w:top w:val="single" w:color="000000" w:sz="4" w:space="0"/>
              <w:left w:val="single" w:color="000000" w:sz="4" w:space="0"/>
              <w:bottom w:val="single" w:color="000000" w:sz="4" w:space="0"/>
              <w:right w:val="single" w:color="000000" w:sz="4" w:space="0"/>
              <w:tl2br w:val="single" w:color="auto" w:sz="4" w:space="0"/>
            </w:tcBorders>
          </w:tcPr>
          <w:p>
            <w:pPr>
              <w:jc w:val="right"/>
              <w:rPr>
                <w:rFonts w:ascii="宋体" w:hAnsi="宋体" w:eastAsia="宋体" w:cs="宋体"/>
                <w:sz w:val="24"/>
              </w:rPr>
            </w:pPr>
          </w:p>
          <w:p>
            <w:pPr>
              <w:jc w:val="right"/>
              <w:rPr>
                <w:rFonts w:ascii="宋体" w:hAnsi="宋体" w:eastAsia="宋体" w:cs="宋体"/>
                <w:sz w:val="24"/>
              </w:rPr>
            </w:pPr>
            <w:r>
              <w:rPr>
                <w:rFonts w:hint="eastAsia" w:ascii="宋体" w:hAnsi="宋体" w:eastAsia="宋体" w:cs="宋体"/>
                <w:sz w:val="24"/>
              </w:rPr>
              <w:t>建房期</w:t>
            </w:r>
          </w:p>
          <w:p>
            <w:pPr>
              <w:jc w:val="cente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房屋结构    </w:t>
            </w:r>
          </w:p>
        </w:tc>
        <w:tc>
          <w:tcPr>
            <w:tcW w:w="79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5" w:leftChars="-50" w:right="-105" w:rightChars="-50"/>
              <w:jc w:val="center"/>
              <w:rPr>
                <w:rFonts w:ascii="宋体" w:hAnsi="宋体" w:eastAsia="宋体" w:cs="宋体"/>
                <w:sz w:val="24"/>
              </w:rPr>
            </w:pPr>
            <w:r>
              <w:rPr>
                <w:rFonts w:hint="eastAsia" w:ascii="宋体" w:hAnsi="宋体" w:eastAsia="宋体" w:cs="宋体"/>
                <w:bCs/>
                <w:sz w:val="24"/>
              </w:rPr>
              <w:t>1979年以前</w:t>
            </w:r>
          </w:p>
        </w:tc>
        <w:tc>
          <w:tcPr>
            <w:tcW w:w="81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5" w:leftChars="-50" w:right="-105" w:rightChars="-50"/>
              <w:jc w:val="center"/>
              <w:rPr>
                <w:rFonts w:ascii="宋体" w:hAnsi="宋体" w:eastAsia="宋体" w:cs="宋体"/>
                <w:bCs/>
                <w:sz w:val="24"/>
              </w:rPr>
            </w:pPr>
            <w:r>
              <w:rPr>
                <w:rFonts w:hint="eastAsia" w:ascii="宋体" w:hAnsi="宋体" w:eastAsia="宋体" w:cs="宋体"/>
                <w:bCs/>
                <w:sz w:val="24"/>
              </w:rPr>
              <w:t>1980年至1989年</w:t>
            </w:r>
          </w:p>
        </w:tc>
        <w:tc>
          <w:tcPr>
            <w:tcW w:w="84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5" w:leftChars="-50" w:right="-105" w:rightChars="-50"/>
              <w:jc w:val="center"/>
              <w:rPr>
                <w:rFonts w:ascii="宋体" w:hAnsi="宋体" w:eastAsia="宋体" w:cs="宋体"/>
                <w:sz w:val="24"/>
              </w:rPr>
            </w:pPr>
            <w:r>
              <w:rPr>
                <w:rFonts w:hint="eastAsia" w:ascii="宋体" w:hAnsi="宋体" w:eastAsia="宋体" w:cs="宋体"/>
                <w:bCs/>
                <w:sz w:val="24"/>
              </w:rPr>
              <w:t>1990年至1999年</w:t>
            </w:r>
          </w:p>
        </w:tc>
        <w:tc>
          <w:tcPr>
            <w:tcW w:w="73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5" w:leftChars="-50" w:right="-105" w:rightChars="-50"/>
              <w:jc w:val="center"/>
              <w:rPr>
                <w:rFonts w:ascii="宋体" w:hAnsi="宋体" w:eastAsia="宋体" w:cs="宋体"/>
                <w:bCs/>
                <w:sz w:val="24"/>
              </w:rPr>
            </w:pPr>
            <w:r>
              <w:rPr>
                <w:rFonts w:hint="eastAsia" w:ascii="宋体" w:hAnsi="宋体" w:eastAsia="宋体" w:cs="宋体"/>
                <w:bCs/>
                <w:sz w:val="24"/>
              </w:rPr>
              <w:t>2000年至2009年</w:t>
            </w:r>
          </w:p>
        </w:tc>
        <w:tc>
          <w:tcPr>
            <w:tcW w:w="7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105" w:leftChars="-50" w:right="-105" w:rightChars="-50"/>
              <w:jc w:val="center"/>
              <w:rPr>
                <w:rFonts w:ascii="宋体" w:hAnsi="宋体" w:eastAsia="宋体" w:cs="宋体"/>
                <w:sz w:val="24"/>
              </w:rPr>
            </w:pPr>
            <w:r>
              <w:rPr>
                <w:rFonts w:hint="eastAsia" w:ascii="宋体" w:hAnsi="宋体" w:eastAsia="宋体" w:cs="宋体"/>
                <w:bCs/>
                <w:sz w:val="24"/>
              </w:rPr>
              <w:t>2010年以后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1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钢混结构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59</w:t>
            </w:r>
            <w:r>
              <w:rPr>
                <w:rFonts w:hint="eastAsia" w:ascii="宋体" w:hAnsi="宋体" w:eastAsia="宋体" w:cs="宋体"/>
                <w:color w:val="000000"/>
                <w:kern w:val="0"/>
                <w:sz w:val="24"/>
                <w:lang w:bidi="ar"/>
              </w:rPr>
              <w:t>%</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60-69%</w:t>
            </w:r>
          </w:p>
        </w:tc>
        <w:tc>
          <w:tcPr>
            <w:tcW w:w="8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70-79%</w:t>
            </w:r>
          </w:p>
        </w:tc>
        <w:tc>
          <w:tcPr>
            <w:tcW w:w="7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80-89%</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1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砖混结构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55-64%</w:t>
            </w:r>
          </w:p>
        </w:tc>
        <w:tc>
          <w:tcPr>
            <w:tcW w:w="8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65-74%</w:t>
            </w:r>
          </w:p>
        </w:tc>
        <w:tc>
          <w:tcPr>
            <w:tcW w:w="7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75-84%</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砂混结构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49</w:t>
            </w:r>
            <w:r>
              <w:rPr>
                <w:rFonts w:hint="eastAsia" w:ascii="宋体" w:hAnsi="宋体" w:eastAsia="宋体" w:cs="宋体"/>
                <w:color w:val="000000"/>
                <w:kern w:val="0"/>
                <w:sz w:val="24"/>
                <w:lang w:bidi="ar"/>
              </w:rPr>
              <w:t>%</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50-59%</w:t>
            </w:r>
          </w:p>
        </w:tc>
        <w:tc>
          <w:tcPr>
            <w:tcW w:w="8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60-69%</w:t>
            </w:r>
          </w:p>
        </w:tc>
        <w:tc>
          <w:tcPr>
            <w:tcW w:w="7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70-79%</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1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砖木结构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49</w:t>
            </w:r>
            <w:r>
              <w:rPr>
                <w:rFonts w:hint="eastAsia" w:ascii="宋体" w:hAnsi="宋体" w:eastAsia="宋体" w:cs="宋体"/>
                <w:color w:val="000000"/>
                <w:kern w:val="0"/>
                <w:sz w:val="24"/>
                <w:lang w:bidi="ar"/>
              </w:rPr>
              <w:t>%</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50-59%</w:t>
            </w:r>
          </w:p>
        </w:tc>
        <w:tc>
          <w:tcPr>
            <w:tcW w:w="8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60-69%</w:t>
            </w:r>
          </w:p>
        </w:tc>
        <w:tc>
          <w:tcPr>
            <w:tcW w:w="7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70-79%</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1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其它结构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39</w:t>
            </w:r>
            <w:r>
              <w:rPr>
                <w:rFonts w:hint="eastAsia" w:ascii="宋体" w:hAnsi="宋体" w:eastAsia="宋体" w:cs="宋体"/>
                <w:color w:val="000000"/>
                <w:kern w:val="0"/>
                <w:sz w:val="24"/>
                <w:lang w:bidi="ar"/>
              </w:rPr>
              <w:t>%</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40-49%</w:t>
            </w:r>
          </w:p>
        </w:tc>
        <w:tc>
          <w:tcPr>
            <w:tcW w:w="8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50-59%</w:t>
            </w:r>
          </w:p>
        </w:tc>
        <w:tc>
          <w:tcPr>
            <w:tcW w:w="7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60-69%</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70%以上</w:t>
            </w:r>
          </w:p>
        </w:tc>
      </w:tr>
    </w:tbl>
    <w:p>
      <w:pPr>
        <w:jc w:val="left"/>
        <w:rPr>
          <w:rFonts w:ascii="宋体" w:hAnsi="宋体" w:eastAsia="宋体" w:cs="宋体"/>
          <w:b/>
          <w:color w:val="000000"/>
          <w:sz w:val="30"/>
          <w:szCs w:val="30"/>
        </w:rPr>
      </w:pPr>
    </w:p>
    <w:p>
      <w:pPr>
        <w:numPr>
          <w:ilvl w:val="0"/>
          <w:numId w:val="0"/>
        </w:numPr>
        <w:spacing w:line="40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1、住宅经有权部门批准经过大修，改变住宅结构类别的，按改变后的住宅结构类别评定住宅成新，大修日期视同建房日期。</w:t>
      </w:r>
    </w:p>
    <w:p>
      <w:pPr>
        <w:numPr>
          <w:ilvl w:val="0"/>
          <w:numId w:val="0"/>
        </w:numPr>
        <w:spacing w:line="40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2、住宅的主体结构经有权部门批准经过大修的，但未改变住宅结构类别，其住宅的成新标准提高一成。</w:t>
      </w:r>
    </w:p>
    <w:p>
      <w:pPr>
        <w:numPr>
          <w:ilvl w:val="0"/>
          <w:numId w:val="0"/>
        </w:numPr>
        <w:spacing w:line="40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3、建房不满三年且属完好房的，其成新可按全新房评定。</w:t>
      </w:r>
    </w:p>
    <w:p>
      <w:pPr>
        <w:numPr>
          <w:ilvl w:val="0"/>
          <w:numId w:val="0"/>
        </w:numPr>
        <w:spacing w:line="400" w:lineRule="exact"/>
        <w:ind w:firstLine="480" w:firstLineChars="200"/>
        <w:jc w:val="left"/>
        <w:rPr>
          <w:rFonts w:hint="eastAsia" w:ascii="宋体" w:hAnsi="宋体" w:eastAsia="宋体" w:cs="宋体"/>
          <w:color w:val="000000"/>
          <w:sz w:val="24"/>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附件二：</w:t>
      </w:r>
    </w:p>
    <w:p>
      <w:pPr>
        <w:tabs>
          <w:tab w:val="left" w:pos="4981"/>
        </w:tabs>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房屋室内装饰装修补偿标准</w:t>
      </w:r>
    </w:p>
    <w:tbl>
      <w:tblPr>
        <w:tblStyle w:val="4"/>
        <w:tblpPr w:leftFromText="180" w:rightFromText="180" w:vertAnchor="text" w:horzAnchor="page" w:tblpX="1141" w:tblpY="60"/>
        <w:tblOverlap w:val="never"/>
        <w:tblW w:w="10066" w:type="dxa"/>
        <w:tblInd w:w="0" w:type="dxa"/>
        <w:tblLayout w:type="fixed"/>
        <w:tblCellMar>
          <w:top w:w="0" w:type="dxa"/>
          <w:left w:w="0" w:type="dxa"/>
          <w:bottom w:w="0" w:type="dxa"/>
          <w:right w:w="0" w:type="dxa"/>
        </w:tblCellMar>
      </w:tblPr>
      <w:tblGrid>
        <w:gridCol w:w="565"/>
        <w:gridCol w:w="1035"/>
        <w:gridCol w:w="1950"/>
        <w:gridCol w:w="6516"/>
      </w:tblGrid>
      <w:tr>
        <w:tblPrEx>
          <w:tblCellMar>
            <w:top w:w="0" w:type="dxa"/>
            <w:left w:w="0" w:type="dxa"/>
            <w:bottom w:w="0" w:type="dxa"/>
            <w:right w:w="0" w:type="dxa"/>
          </w:tblCellMar>
        </w:tblPrEx>
        <w:trPr>
          <w:trHeight w:val="440" w:hRule="atLeast"/>
        </w:trPr>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编号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装修等级</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补偿标准（元/</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w:t>
            </w:r>
          </w:p>
        </w:tc>
        <w:tc>
          <w:tcPr>
            <w:tcW w:w="6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主要条件</w:t>
            </w:r>
          </w:p>
        </w:tc>
      </w:tr>
      <w:tr>
        <w:tblPrEx>
          <w:tblCellMar>
            <w:top w:w="0" w:type="dxa"/>
            <w:left w:w="0" w:type="dxa"/>
            <w:bottom w:w="0" w:type="dxa"/>
            <w:right w:w="0" w:type="dxa"/>
          </w:tblCellMar>
        </w:tblPrEx>
        <w:trPr>
          <w:trHeight w:val="1560"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0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一等</w:t>
            </w:r>
          </w:p>
        </w:tc>
        <w:tc>
          <w:tcPr>
            <w:tcW w:w="19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750</w:t>
            </w:r>
          </w:p>
        </w:tc>
        <w:tc>
          <w:tcPr>
            <w:tcW w:w="6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地面：高档实木地板，高档抛光砖，中、高档仿古砖，中、高档花岗岩。</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墙面：高档乳胶漆或高档墙纸、石材、木质护墙，局部墙面带装饰造型。</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顶棚：艺术造型吊顶。</w:t>
            </w:r>
          </w:p>
        </w:tc>
      </w:tr>
      <w:tr>
        <w:tblPrEx>
          <w:tblCellMar>
            <w:top w:w="0" w:type="dxa"/>
            <w:left w:w="0" w:type="dxa"/>
            <w:bottom w:w="0" w:type="dxa"/>
            <w:right w:w="0" w:type="dxa"/>
          </w:tblCellMar>
        </w:tblPrEx>
        <w:trPr>
          <w:trHeight w:val="349"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2000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厨卫：高档饰面板橱柜，高档洁具齐全，高档防滑地砖，中、高档墙砖，铝扣板吊顶。</w:t>
            </w:r>
          </w:p>
        </w:tc>
      </w:tr>
      <w:tr>
        <w:tblPrEx>
          <w:tblCellMar>
            <w:top w:w="0" w:type="dxa"/>
            <w:left w:w="0" w:type="dxa"/>
            <w:bottom w:w="0" w:type="dxa"/>
            <w:right w:w="0" w:type="dxa"/>
          </w:tblCellMar>
        </w:tblPrEx>
        <w:trPr>
          <w:trHeight w:val="162" w:hRule="atLeast"/>
        </w:trPr>
        <w:tc>
          <w:tcPr>
            <w:tcW w:w="5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800(樘)</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tabs>
                <w:tab w:val="center" w:pos="2971"/>
              </w:tabs>
              <w:jc w:val="left"/>
              <w:textAlignment w:val="center"/>
              <w:rPr>
                <w:rFonts w:ascii="宋体" w:hAnsi="宋体" w:eastAsia="宋体" w:cs="宋体"/>
                <w:color w:val="000000"/>
                <w:sz w:val="24"/>
              </w:rPr>
            </w:pPr>
            <w:r>
              <w:rPr>
                <w:rFonts w:hint="eastAsia" w:ascii="宋体" w:hAnsi="宋体" w:eastAsia="宋体" w:cs="宋体"/>
                <w:color w:val="000000"/>
                <w:sz w:val="24"/>
              </w:rPr>
              <w:t>门：高档实木门、实木免漆门、实木烤漆门。</w:t>
            </w:r>
          </w:p>
        </w:tc>
      </w:tr>
      <w:tr>
        <w:tblPrEx>
          <w:tblCellMar>
            <w:top w:w="0" w:type="dxa"/>
            <w:left w:w="0" w:type="dxa"/>
            <w:bottom w:w="0" w:type="dxa"/>
            <w:right w:w="0" w:type="dxa"/>
          </w:tblCellMar>
        </w:tblPrEx>
        <w:trPr>
          <w:trHeight w:val="561"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0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二等</w:t>
            </w:r>
          </w:p>
        </w:tc>
        <w:tc>
          <w:tcPr>
            <w:tcW w:w="19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450</w:t>
            </w:r>
          </w:p>
        </w:tc>
        <w:tc>
          <w:tcPr>
            <w:tcW w:w="6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地面：普通实木地板、抛光砖，普通仿古砖，中、低档花岗岩。</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墙面：中档乳胶漆、墙纸、墙裙。</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顶棚：石膏板吊顶。</w:t>
            </w:r>
          </w:p>
        </w:tc>
      </w:tr>
      <w:tr>
        <w:tblPrEx>
          <w:tblCellMar>
            <w:top w:w="0" w:type="dxa"/>
            <w:left w:w="0" w:type="dxa"/>
            <w:bottom w:w="0" w:type="dxa"/>
            <w:right w:w="0" w:type="dxa"/>
          </w:tblCellMar>
        </w:tblPrEx>
        <w:trPr>
          <w:trHeight w:val="409"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1500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厨卫：普通饰面板橱柜，中档洁具齐全，普通防滑地砖，普通墙砖，塑扣板吊顶，设施齐全。</w:t>
            </w:r>
          </w:p>
        </w:tc>
      </w:tr>
      <w:tr>
        <w:tblPrEx>
          <w:tblCellMar>
            <w:top w:w="0" w:type="dxa"/>
            <w:left w:w="0" w:type="dxa"/>
            <w:bottom w:w="0" w:type="dxa"/>
            <w:right w:w="0" w:type="dxa"/>
          </w:tblCellMar>
        </w:tblPrEx>
        <w:trPr>
          <w:trHeight w:val="159" w:hRule="atLeast"/>
        </w:trPr>
        <w:tc>
          <w:tcPr>
            <w:tcW w:w="5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600(樘)</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门：较好的实木门、实木复合门、免漆门、木塑门、铝合金门。</w:t>
            </w:r>
          </w:p>
        </w:tc>
      </w:tr>
      <w:tr>
        <w:tblPrEx>
          <w:tblCellMar>
            <w:top w:w="0" w:type="dxa"/>
            <w:left w:w="0" w:type="dxa"/>
            <w:bottom w:w="0" w:type="dxa"/>
            <w:right w:w="0" w:type="dxa"/>
          </w:tblCellMar>
        </w:tblPrEx>
        <w:trPr>
          <w:trHeight w:val="812" w:hRule="atLeast"/>
        </w:trPr>
        <w:tc>
          <w:tcPr>
            <w:tcW w:w="5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10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三等</w:t>
            </w:r>
          </w:p>
        </w:tc>
        <w:tc>
          <w:tcPr>
            <w:tcW w:w="19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300</w:t>
            </w:r>
          </w:p>
        </w:tc>
        <w:tc>
          <w:tcPr>
            <w:tcW w:w="6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地面：复合地板、小拼木地板或釉面地砖、马赛克。</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墙面：低档墙纸、油漆墙面或喷塑墙面。</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顶棚：低档墙纸、油漆或喷塑，局部少量吊顶。</w:t>
            </w:r>
          </w:p>
        </w:tc>
      </w:tr>
      <w:tr>
        <w:tblPrEx>
          <w:tblCellMar>
            <w:top w:w="0" w:type="dxa"/>
            <w:left w:w="0" w:type="dxa"/>
            <w:bottom w:w="0" w:type="dxa"/>
            <w:right w:w="0" w:type="dxa"/>
          </w:tblCellMar>
        </w:tblPrEx>
        <w:trPr>
          <w:trHeight w:val="514"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1000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厨卫：普通防滑地砖，普通墙砖，低档洁具,塑扣板吊顶，设施基本齐全。</w:t>
            </w:r>
          </w:p>
        </w:tc>
      </w:tr>
      <w:tr>
        <w:tblPrEx>
          <w:tblCellMar>
            <w:top w:w="0" w:type="dxa"/>
            <w:left w:w="0" w:type="dxa"/>
            <w:bottom w:w="0" w:type="dxa"/>
            <w:right w:w="0" w:type="dxa"/>
          </w:tblCellMar>
        </w:tblPrEx>
        <w:trPr>
          <w:trHeight w:val="90" w:hRule="atLeast"/>
        </w:trPr>
        <w:tc>
          <w:tcPr>
            <w:tcW w:w="5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400(樘)</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门：一般的木门、实木复合门、免漆门、木塑门、铝合金门。</w:t>
            </w:r>
          </w:p>
        </w:tc>
      </w:tr>
      <w:tr>
        <w:tblPrEx>
          <w:tblCellMar>
            <w:top w:w="0" w:type="dxa"/>
            <w:left w:w="0" w:type="dxa"/>
            <w:bottom w:w="0" w:type="dxa"/>
            <w:right w:w="0" w:type="dxa"/>
          </w:tblCellMar>
        </w:tblPrEx>
        <w:trPr>
          <w:trHeight w:val="691" w:hRule="atLeast"/>
        </w:trPr>
        <w:tc>
          <w:tcPr>
            <w:tcW w:w="565" w:type="dxa"/>
            <w:vMerge w:val="restart"/>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1035"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四等</w:t>
            </w: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150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地面：水磨石、水泥地地面。</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墙面：普通涂料。</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顶棚：普通涂料或较差材料吊顶。</w:t>
            </w:r>
          </w:p>
        </w:tc>
      </w:tr>
      <w:tr>
        <w:tblPrEx>
          <w:tblCellMar>
            <w:top w:w="0" w:type="dxa"/>
            <w:left w:w="0" w:type="dxa"/>
            <w:bottom w:w="0" w:type="dxa"/>
            <w:right w:w="0" w:type="dxa"/>
          </w:tblCellMar>
        </w:tblPrEx>
        <w:trPr>
          <w:trHeight w:val="202" w:hRule="atLeast"/>
        </w:trPr>
        <w:tc>
          <w:tcPr>
            <w:tcW w:w="5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600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厨卫：普通防滑地砖或水泥地，部分墙砖，设施简陋。</w:t>
            </w:r>
          </w:p>
        </w:tc>
      </w:tr>
      <w:tr>
        <w:tblPrEx>
          <w:tblCellMar>
            <w:top w:w="0" w:type="dxa"/>
            <w:left w:w="0" w:type="dxa"/>
            <w:bottom w:w="0" w:type="dxa"/>
            <w:right w:w="0" w:type="dxa"/>
          </w:tblCellMar>
        </w:tblPrEx>
        <w:trPr>
          <w:trHeight w:val="90" w:hRule="atLeast"/>
        </w:trPr>
        <w:tc>
          <w:tcPr>
            <w:tcW w:w="5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200(樘)</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门：较差的木门、百叶门、铝合金门。</w:t>
            </w:r>
          </w:p>
        </w:tc>
      </w:tr>
      <w:tr>
        <w:tblPrEx>
          <w:tblCellMar>
            <w:top w:w="0" w:type="dxa"/>
            <w:left w:w="0" w:type="dxa"/>
            <w:bottom w:w="0" w:type="dxa"/>
            <w:right w:w="0" w:type="dxa"/>
          </w:tblCellMar>
        </w:tblPrEx>
        <w:trPr>
          <w:trHeight w:val="90" w:hRule="atLeast"/>
        </w:trPr>
        <w:tc>
          <w:tcPr>
            <w:tcW w:w="565" w:type="dxa"/>
            <w:vMerge w:val="restart"/>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5</w:t>
            </w:r>
          </w:p>
        </w:tc>
        <w:tc>
          <w:tcPr>
            <w:tcW w:w="1035"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平开</w:t>
            </w: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610</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断桥隔热中空玻璃铝合金窗</w:t>
            </w:r>
          </w:p>
        </w:tc>
      </w:tr>
      <w:tr>
        <w:tblPrEx>
          <w:tblCellMar>
            <w:top w:w="0" w:type="dxa"/>
            <w:left w:w="0" w:type="dxa"/>
            <w:bottom w:w="0" w:type="dxa"/>
            <w:right w:w="0" w:type="dxa"/>
          </w:tblCellMar>
        </w:tblPrEx>
        <w:trPr>
          <w:trHeight w:val="97" w:hRule="atLeast"/>
        </w:trPr>
        <w:tc>
          <w:tcPr>
            <w:tcW w:w="5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035"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33"/>
                <w:tab w:val="center" w:pos="481"/>
              </w:tabs>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推拉</w:t>
            </w: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524</w:t>
            </w:r>
          </w:p>
        </w:tc>
        <w:tc>
          <w:tcPr>
            <w:tcW w:w="6516" w:type="dxa"/>
            <w:tcBorders>
              <w:top w:val="single" w:color="auto" w:sz="4" w:space="0"/>
              <w:left w:val="single" w:color="000000" w:sz="4" w:space="0"/>
              <w:bottom w:val="single" w:color="000000" w:sz="4" w:space="0"/>
              <w:right w:val="single" w:color="000000" w:sz="4" w:space="0"/>
            </w:tcBorders>
            <w:vAlign w:val="center"/>
          </w:tcPr>
          <w:p>
            <w:pPr>
              <w:widowControl/>
              <w:tabs>
                <w:tab w:val="center" w:pos="2971"/>
              </w:tabs>
              <w:jc w:val="left"/>
              <w:textAlignment w:val="center"/>
              <w:rPr>
                <w:rFonts w:ascii="宋体" w:hAnsi="宋体" w:eastAsia="宋体" w:cs="宋体"/>
                <w:color w:val="000000"/>
                <w:sz w:val="24"/>
              </w:rPr>
            </w:pPr>
            <w:r>
              <w:rPr>
                <w:rFonts w:hint="eastAsia" w:ascii="宋体" w:hAnsi="宋体" w:eastAsia="宋体" w:cs="宋体"/>
                <w:color w:val="000000"/>
                <w:sz w:val="24"/>
              </w:rPr>
              <w:t>断桥隔热中空玻璃铝合金窗</w:t>
            </w:r>
            <w:r>
              <w:rPr>
                <w:rFonts w:hint="eastAsia" w:ascii="宋体" w:hAnsi="宋体" w:eastAsia="宋体" w:cs="宋体"/>
                <w:color w:val="000000"/>
                <w:sz w:val="24"/>
              </w:rPr>
              <w:tab/>
            </w:r>
          </w:p>
        </w:tc>
      </w:tr>
    </w:tbl>
    <w:p>
      <w:pPr>
        <w:spacing w:line="400" w:lineRule="exact"/>
        <w:rPr>
          <w:rFonts w:ascii="宋体" w:hAnsi="宋体" w:eastAsia="宋体" w:cs="宋体"/>
          <w:color w:val="000000"/>
          <w:kern w:val="0"/>
          <w:sz w:val="24"/>
        </w:rPr>
      </w:pPr>
    </w:p>
    <w:p>
      <w:pPr>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说明：1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面积按实际装修房屋（间）的使用面积计算。</w:t>
      </w:r>
    </w:p>
    <w:p>
      <w:pPr>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主要条件中每一项单价为同等级补偿标准的三分之一。</w:t>
      </w:r>
    </w:p>
    <w:p>
      <w:pPr>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本装修标准已包含：装修设计费用及隐蔽在装饰表面内部的管线工程和结构工程的价值，室内固定家具（含壁橱、吊橱、柜橱、门窗包角等）的价值。</w:t>
      </w:r>
    </w:p>
    <w:p>
      <w:pPr>
        <w:tabs>
          <w:tab w:val="left" w:pos="1216"/>
        </w:tabs>
        <w:spacing w:line="400" w:lineRule="exact"/>
        <w:ind w:firstLine="720" w:firstLineChars="300"/>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eastAsia="宋体" w:cs="宋体"/>
          <w:color w:val="000000"/>
          <w:kern w:val="0"/>
          <w:sz w:val="24"/>
          <w:lang w:eastAsia="zh-CN"/>
        </w:rPr>
        <w:t>、</w:t>
      </w:r>
      <w:r>
        <w:rPr>
          <w:rFonts w:hint="eastAsia" w:ascii="宋体" w:hAnsi="宋体" w:eastAsia="宋体" w:cs="宋体"/>
          <w:color w:val="000000"/>
          <w:sz w:val="24"/>
        </w:rPr>
        <w:t>断桥隔热中空玻璃铝合金窗是在原有普通铝合金窗的基础上进行补偿。</w:t>
      </w:r>
    </w:p>
    <w:p>
      <w:pPr>
        <w:spacing w:line="400" w:lineRule="exact"/>
        <w:ind w:firstLine="720" w:firstLineChars="300"/>
        <w:rPr>
          <w:rFonts w:ascii="宋体" w:hAnsi="宋体" w:eastAsia="宋体" w:cs="宋体"/>
          <w:color w:val="000000"/>
          <w:kern w:val="0"/>
          <w:sz w:val="24"/>
        </w:rPr>
      </w:pPr>
      <w:r>
        <w:rPr>
          <w:rFonts w:hint="eastAsia" w:ascii="宋体" w:hAnsi="宋体" w:eastAsia="宋体" w:cs="宋体"/>
          <w:color w:val="000000"/>
          <w:kern w:val="0"/>
          <w:sz w:val="24"/>
        </w:rPr>
        <w:t>5、特殊装饰装修经认定后另行评估。</w:t>
      </w:r>
    </w:p>
    <w:p>
      <w:pPr>
        <w:spacing w:line="400" w:lineRule="exact"/>
        <w:rPr>
          <w:rFonts w:ascii="宋体" w:hAnsi="宋体" w:eastAsia="宋体" w:cs="宋体"/>
          <w:color w:val="000000"/>
          <w:kern w:val="0"/>
          <w:sz w:val="24"/>
        </w:rPr>
      </w:pPr>
    </w:p>
    <w:p>
      <w:pPr>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附件三：</w:t>
      </w:r>
    </w:p>
    <w:p>
      <w:pPr>
        <w:tabs>
          <w:tab w:val="left" w:pos="4981"/>
        </w:tabs>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房屋室外部分补偿标准</w:t>
      </w:r>
    </w:p>
    <w:tbl>
      <w:tblPr>
        <w:tblStyle w:val="4"/>
        <w:tblW w:w="7861" w:type="dxa"/>
        <w:tblInd w:w="15" w:type="dxa"/>
        <w:tblLayout w:type="fixed"/>
        <w:tblCellMar>
          <w:top w:w="0" w:type="dxa"/>
          <w:left w:w="0" w:type="dxa"/>
          <w:bottom w:w="0" w:type="dxa"/>
          <w:right w:w="0" w:type="dxa"/>
        </w:tblCellMar>
      </w:tblPr>
      <w:tblGrid>
        <w:gridCol w:w="866"/>
        <w:gridCol w:w="1160"/>
        <w:gridCol w:w="2400"/>
        <w:gridCol w:w="3435"/>
      </w:tblGrid>
      <w:tr>
        <w:tblPrEx>
          <w:tblCellMar>
            <w:top w:w="0" w:type="dxa"/>
            <w:left w:w="0" w:type="dxa"/>
            <w:bottom w:w="0" w:type="dxa"/>
            <w:right w:w="0" w:type="dxa"/>
          </w:tblCellMar>
        </w:tblPrEx>
        <w:trPr>
          <w:trHeight w:val="440" w:hRule="atLeast"/>
        </w:trPr>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编号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补偿内容</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补偿标准（元/</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主要条件</w:t>
            </w:r>
          </w:p>
        </w:tc>
      </w:tr>
      <w:tr>
        <w:tblPrEx>
          <w:tblCellMar>
            <w:top w:w="0" w:type="dxa"/>
            <w:left w:w="0" w:type="dxa"/>
            <w:bottom w:w="0" w:type="dxa"/>
            <w:right w:w="0" w:type="dxa"/>
          </w:tblCellMar>
        </w:tblPrEx>
        <w:trPr>
          <w:trHeight w:val="330"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1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470"/>
                <w:tab w:val="center" w:pos="601"/>
              </w:tabs>
              <w:jc w:val="left"/>
              <w:textAlignment w:val="center"/>
              <w:rPr>
                <w:rFonts w:ascii="宋体" w:hAnsi="宋体" w:eastAsia="宋体" w:cs="宋体"/>
                <w:color w:val="000000"/>
                <w:sz w:val="24"/>
              </w:rPr>
            </w:pPr>
            <w:r>
              <w:rPr>
                <w:rFonts w:hint="eastAsia" w:ascii="宋体" w:hAnsi="宋体" w:eastAsia="宋体" w:cs="宋体"/>
                <w:color w:val="000000"/>
                <w:kern w:val="0"/>
                <w:sz w:val="24"/>
              </w:rPr>
              <w:t>外墙铺贴</w:t>
            </w:r>
            <w:r>
              <w:rPr>
                <w:rFonts w:hint="eastAsia" w:ascii="宋体" w:hAnsi="宋体" w:eastAsia="宋体" w:cs="宋体"/>
                <w:color w:val="000000"/>
                <w:kern w:val="0"/>
                <w:sz w:val="24"/>
              </w:rPr>
              <w:tab/>
            </w:r>
            <w:r>
              <w:rPr>
                <w:rFonts w:hint="eastAsia" w:ascii="宋体" w:hAnsi="宋体" w:eastAsia="宋体" w:cs="宋体"/>
                <w:color w:val="000000"/>
                <w:kern w:val="0"/>
                <w:sz w:val="24"/>
              </w:rPr>
              <w:t xml:space="preserve"> </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400</w:t>
            </w:r>
          </w:p>
        </w:tc>
        <w:tc>
          <w:tcPr>
            <w:tcW w:w="34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高档石材</w:t>
            </w:r>
          </w:p>
        </w:tc>
      </w:tr>
      <w:tr>
        <w:tblPrEx>
          <w:tblCellMar>
            <w:top w:w="0" w:type="dxa"/>
            <w:left w:w="0" w:type="dxa"/>
            <w:bottom w:w="0" w:type="dxa"/>
            <w:right w:w="0" w:type="dxa"/>
          </w:tblCellMar>
        </w:tblPrEx>
        <w:trPr>
          <w:trHeight w:val="310"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300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中档石材</w:t>
            </w:r>
          </w:p>
        </w:tc>
      </w:tr>
      <w:tr>
        <w:tblPrEx>
          <w:tblCellMar>
            <w:top w:w="0" w:type="dxa"/>
            <w:left w:w="0" w:type="dxa"/>
            <w:bottom w:w="0" w:type="dxa"/>
            <w:right w:w="0" w:type="dxa"/>
          </w:tblCellMar>
        </w:tblPrEx>
        <w:trPr>
          <w:trHeight w:val="295"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200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tabs>
                <w:tab w:val="center" w:pos="2971"/>
              </w:tabs>
              <w:jc w:val="center"/>
              <w:textAlignment w:val="center"/>
              <w:rPr>
                <w:rFonts w:ascii="宋体" w:hAnsi="宋体" w:eastAsia="宋体" w:cs="宋体"/>
                <w:color w:val="000000"/>
                <w:sz w:val="24"/>
              </w:rPr>
            </w:pPr>
            <w:r>
              <w:rPr>
                <w:rFonts w:hint="eastAsia" w:ascii="宋体" w:hAnsi="宋体" w:eastAsia="宋体" w:cs="宋体"/>
                <w:color w:val="000000"/>
                <w:sz w:val="24"/>
              </w:rPr>
              <w:t>低档石材</w:t>
            </w:r>
          </w:p>
        </w:tc>
      </w:tr>
      <w:tr>
        <w:tblPrEx>
          <w:tblCellMar>
            <w:top w:w="0" w:type="dxa"/>
            <w:left w:w="0" w:type="dxa"/>
            <w:bottom w:w="0" w:type="dxa"/>
            <w:right w:w="0" w:type="dxa"/>
          </w:tblCellMar>
        </w:tblPrEx>
        <w:trPr>
          <w:trHeight w:val="382"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1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外墙干挂</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880</w:t>
            </w:r>
          </w:p>
        </w:tc>
        <w:tc>
          <w:tcPr>
            <w:tcW w:w="34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高档石材</w:t>
            </w:r>
          </w:p>
        </w:tc>
      </w:tr>
      <w:tr>
        <w:tblPrEx>
          <w:tblCellMar>
            <w:top w:w="0" w:type="dxa"/>
            <w:left w:w="0" w:type="dxa"/>
            <w:bottom w:w="0" w:type="dxa"/>
            <w:right w:w="0" w:type="dxa"/>
          </w:tblCellMar>
        </w:tblPrEx>
        <w:trPr>
          <w:trHeight w:val="359"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570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中档石材</w:t>
            </w:r>
          </w:p>
        </w:tc>
      </w:tr>
      <w:tr>
        <w:trPr>
          <w:trHeight w:val="354"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tabs>
                <w:tab w:val="center" w:pos="2971"/>
              </w:tabs>
              <w:jc w:val="center"/>
              <w:textAlignment w:val="center"/>
              <w:rPr>
                <w:rFonts w:ascii="宋体" w:hAnsi="宋体" w:eastAsia="宋体" w:cs="宋体"/>
                <w:color w:val="000000"/>
                <w:sz w:val="24"/>
              </w:rPr>
            </w:pPr>
            <w:r>
              <w:rPr>
                <w:rFonts w:hint="eastAsia" w:ascii="宋体" w:hAnsi="宋体" w:eastAsia="宋体" w:cs="宋体"/>
                <w:color w:val="000000"/>
                <w:sz w:val="24"/>
              </w:rPr>
              <w:t>低档石材</w:t>
            </w:r>
          </w:p>
        </w:tc>
      </w:tr>
      <w:tr>
        <w:tblPrEx>
          <w:tblCellMar>
            <w:top w:w="0" w:type="dxa"/>
            <w:left w:w="0" w:type="dxa"/>
            <w:bottom w:w="0" w:type="dxa"/>
            <w:right w:w="0" w:type="dxa"/>
          </w:tblCellMar>
        </w:tblPrEx>
        <w:trPr>
          <w:trHeight w:val="302"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11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进户门使用铜门、红木门</w:t>
            </w:r>
          </w:p>
        </w:tc>
        <w:tc>
          <w:tcPr>
            <w:tcW w:w="24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1500</w:t>
            </w:r>
          </w:p>
        </w:tc>
        <w:tc>
          <w:tcPr>
            <w:tcW w:w="34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普通材料</w:t>
            </w:r>
          </w:p>
        </w:tc>
      </w:tr>
      <w:tr>
        <w:tblPrEx>
          <w:tblCellMar>
            <w:top w:w="0" w:type="dxa"/>
            <w:left w:w="0" w:type="dxa"/>
            <w:bottom w:w="0" w:type="dxa"/>
            <w:right w:w="0" w:type="dxa"/>
          </w:tblCellMar>
        </w:tblPrEx>
        <w:trPr>
          <w:trHeight w:val="387"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2000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中档材料</w:t>
            </w:r>
          </w:p>
        </w:tc>
      </w:tr>
      <w:tr>
        <w:trPr>
          <w:trHeight w:val="362"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1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p>
        </w:tc>
        <w:tc>
          <w:tcPr>
            <w:tcW w:w="24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3000</w:t>
            </w:r>
          </w:p>
        </w:tc>
        <w:tc>
          <w:tcPr>
            <w:tcW w:w="34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高档材料</w:t>
            </w:r>
          </w:p>
        </w:tc>
      </w:tr>
    </w:tbl>
    <w:p>
      <w:pPr>
        <w:jc w:val="left"/>
        <w:rPr>
          <w:rFonts w:ascii="宋体" w:hAnsi="宋体" w:eastAsia="宋体" w:cs="宋体"/>
          <w:bCs/>
          <w:color w:val="000000"/>
          <w:sz w:val="28"/>
          <w:szCs w:val="28"/>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p>
      <w:pPr>
        <w:jc w:val="both"/>
        <w:rPr>
          <w:rFonts w:hint="eastAsia" w:ascii="宋体" w:hAnsi="宋体" w:eastAsia="宋体" w:cs="宋体"/>
          <w:b/>
          <w:color w:val="000000"/>
          <w:sz w:val="30"/>
          <w:szCs w:val="30"/>
        </w:rPr>
      </w:pPr>
    </w:p>
    <w:tbl>
      <w:tblPr>
        <w:tblStyle w:val="4"/>
        <w:tblW w:w="9480" w:type="dxa"/>
        <w:tblInd w:w="-269" w:type="dxa"/>
        <w:tblLayout w:type="fixed"/>
        <w:tblCellMar>
          <w:top w:w="0" w:type="dxa"/>
          <w:left w:w="0" w:type="dxa"/>
          <w:bottom w:w="0" w:type="dxa"/>
          <w:right w:w="0" w:type="dxa"/>
        </w:tblCellMar>
      </w:tblPr>
      <w:tblGrid>
        <w:gridCol w:w="690"/>
        <w:gridCol w:w="555"/>
        <w:gridCol w:w="6834"/>
        <w:gridCol w:w="1401"/>
      </w:tblGrid>
      <w:tr>
        <w:tblPrEx>
          <w:tblCellMar>
            <w:top w:w="0" w:type="dxa"/>
            <w:left w:w="0" w:type="dxa"/>
            <w:bottom w:w="0" w:type="dxa"/>
            <w:right w:w="0" w:type="dxa"/>
          </w:tblCellMar>
        </w:tblPrEx>
        <w:trPr>
          <w:trHeight w:val="570" w:hRule="atLeast"/>
        </w:trPr>
        <w:tc>
          <w:tcPr>
            <w:tcW w:w="94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0"/>
                <w:sz w:val="24"/>
                <w:lang w:bidi="ar"/>
              </w:rPr>
            </w:pPr>
            <w:r>
              <w:rPr>
                <w:rFonts w:hint="eastAsia" w:ascii="宋体" w:hAnsi="宋体" w:eastAsia="宋体" w:cs="宋体"/>
                <w:b/>
                <w:color w:val="000000"/>
                <w:sz w:val="30"/>
                <w:szCs w:val="30"/>
              </w:rPr>
              <w:t>工业用房</w:t>
            </w:r>
            <w:r>
              <w:rPr>
                <w:rFonts w:hint="eastAsia" w:ascii="宋体" w:hAnsi="宋体" w:eastAsia="宋体" w:cs="宋体"/>
                <w:b/>
                <w:color w:val="000000"/>
                <w:sz w:val="28"/>
                <w:szCs w:val="28"/>
              </w:rPr>
              <w:t>重置价格</w:t>
            </w:r>
          </w:p>
        </w:tc>
      </w:tr>
      <w:tr>
        <w:tblPrEx>
          <w:tblCellMar>
            <w:top w:w="0" w:type="dxa"/>
            <w:left w:w="0" w:type="dxa"/>
            <w:bottom w:w="0" w:type="dxa"/>
            <w:right w:w="0" w:type="dxa"/>
          </w:tblCellMar>
        </w:tblPrEx>
        <w:trPr>
          <w:trHeight w:val="533"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结构形式</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等级</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等级说明</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center" w:pos="2429"/>
                <w:tab w:val="left" w:pos="3765"/>
              </w:tabs>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单价（</w:t>
            </w:r>
            <w:r>
              <w:rPr>
                <w:rFonts w:hint="eastAsia" w:ascii="宋体" w:hAnsi="宋体" w:eastAsia="宋体" w:cs="宋体"/>
                <w:color w:val="000000"/>
                <w:kern w:val="0"/>
                <w:sz w:val="24"/>
                <w:lang w:val="en-US" w:eastAsia="zh-CN" w:bidi="ar"/>
              </w:rPr>
              <w:t>元/</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lang w:bidi="ar"/>
              </w:rPr>
              <w:t>）</w:t>
            </w:r>
          </w:p>
        </w:tc>
      </w:tr>
      <w:tr>
        <w:tblPrEx>
          <w:tblCellMar>
            <w:top w:w="0" w:type="dxa"/>
            <w:left w:w="0" w:type="dxa"/>
            <w:bottom w:w="0" w:type="dxa"/>
            <w:right w:w="0" w:type="dxa"/>
          </w:tblCellMar>
        </w:tblPrEx>
        <w:trPr>
          <w:trHeight w:val="1350"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钢混结构</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（框架）</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框架结构，层数8层（含）以上，钢砼满堂基础或桩基础，钢砼梁柱承重，标准砖墙或砌块墙，全现浇楼板，楼地面为水泥砂浆（或细石砼）找平，刚性屋面，内墙高级抹灰，</w:t>
            </w:r>
            <w:r>
              <w:rPr>
                <w:rFonts w:hint="eastAsia" w:ascii="宋体" w:hAnsi="宋体" w:eastAsia="宋体" w:cs="宋体"/>
                <w:kern w:val="0"/>
                <w:sz w:val="24"/>
              </w:rPr>
              <w:t>面砖饰面或喷涂</w:t>
            </w:r>
            <w:r>
              <w:rPr>
                <w:rFonts w:hint="eastAsia" w:ascii="宋体" w:hAnsi="宋体" w:eastAsia="宋体" w:cs="宋体"/>
                <w:color w:val="000000"/>
                <w:kern w:val="0"/>
                <w:sz w:val="24"/>
                <w:lang w:bidi="ar"/>
              </w:rPr>
              <w:t>，卷闸门、钢木大门、防盗门、木门，铝合金窗，水电卫齐全，按规定配制消防设施。</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1744</w:t>
            </w:r>
          </w:p>
        </w:tc>
      </w:tr>
      <w:tr>
        <w:tblPrEx>
          <w:tblCellMar>
            <w:top w:w="0" w:type="dxa"/>
            <w:left w:w="0" w:type="dxa"/>
            <w:bottom w:w="0" w:type="dxa"/>
            <w:right w:w="0" w:type="dxa"/>
          </w:tblCellMar>
        </w:tblPrEx>
        <w:trPr>
          <w:trHeight w:val="1350"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二等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框架结构，层数7层（含）以下，钢砼满堂基础或桩基础，钢砼梁柱承重，标准砖墙或砌块墙，全现浇楼板，楼地面为水泥砂浆（或细石砼）找平，刚性屋面，内墙高级抹灰，</w:t>
            </w:r>
            <w:r>
              <w:rPr>
                <w:rFonts w:hint="eastAsia" w:ascii="宋体" w:hAnsi="宋体" w:eastAsia="宋体" w:cs="宋体"/>
                <w:kern w:val="0"/>
                <w:sz w:val="24"/>
              </w:rPr>
              <w:t>面砖饰面或喷涂</w:t>
            </w:r>
            <w:r>
              <w:rPr>
                <w:rFonts w:hint="eastAsia" w:ascii="宋体" w:hAnsi="宋体" w:eastAsia="宋体" w:cs="宋体"/>
                <w:color w:val="000000"/>
                <w:kern w:val="0"/>
                <w:sz w:val="24"/>
                <w:lang w:bidi="ar"/>
              </w:rPr>
              <w:t>，卷闸门、钢木大门、防盗门、木门，铝合金窗，水电卫齐全，按规定配制消防设施。</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1480</w:t>
            </w:r>
          </w:p>
        </w:tc>
      </w:tr>
      <w:tr>
        <w:tblPrEx>
          <w:tblCellMar>
            <w:top w:w="0" w:type="dxa"/>
            <w:left w:w="0" w:type="dxa"/>
            <w:bottom w:w="0" w:type="dxa"/>
            <w:right w:w="0" w:type="dxa"/>
          </w:tblCellMar>
        </w:tblPrEx>
        <w:trPr>
          <w:trHeight w:val="1302"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框架结构，层数7层（含）以下，钢砼独立基础或桩基础，钢砼梁柱承重，标准砖墙或砌块墙，预制楼板或现浇楼板，楼地面为水泥砂浆（或细石砼）找平，刚性屋面，</w:t>
            </w:r>
            <w:r>
              <w:rPr>
                <w:rFonts w:hint="eastAsia" w:ascii="宋体" w:hAnsi="宋体" w:eastAsia="宋体" w:cs="宋体"/>
                <w:kern w:val="0"/>
                <w:sz w:val="24"/>
              </w:rPr>
              <w:t>外墙较好抹灰、面砖饰面或喷涂，</w:t>
            </w:r>
            <w:r>
              <w:rPr>
                <w:rFonts w:hint="eastAsia" w:ascii="宋体" w:hAnsi="宋体" w:eastAsia="宋体" w:cs="宋体"/>
                <w:color w:val="000000"/>
                <w:kern w:val="0"/>
                <w:sz w:val="24"/>
                <w:lang w:bidi="ar"/>
              </w:rPr>
              <w:t>卷闸门、钢木大门、防盗门、木门，铝合金窗，水电卫齐全，按规定配制消防设施。</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1213</w:t>
            </w:r>
          </w:p>
        </w:tc>
      </w:tr>
      <w:tr>
        <w:tblPrEx>
          <w:tblCellMar>
            <w:top w:w="0" w:type="dxa"/>
            <w:left w:w="0" w:type="dxa"/>
            <w:bottom w:w="0" w:type="dxa"/>
            <w:right w:w="0" w:type="dxa"/>
          </w:tblCellMar>
        </w:tblPrEx>
        <w:trPr>
          <w:trHeight w:val="1099"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钢混结构</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（排架）</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独立基础，钢砼柱，钢砼屋架或者钢屋架，彩钢夹保温层屋面，有天窗，标准砖墙或砌块墙，地面为水泥砂浆（或细石砼）找平，</w:t>
            </w:r>
            <w:r>
              <w:rPr>
                <w:rFonts w:hint="eastAsia" w:ascii="宋体" w:hAnsi="宋体" w:eastAsia="宋体" w:cs="宋体"/>
                <w:kern w:val="0"/>
                <w:sz w:val="24"/>
              </w:rPr>
              <w:t>内墙普通抹灰，外墙高级抹灰、面砖饰面或喷涂，</w:t>
            </w:r>
            <w:r>
              <w:rPr>
                <w:rFonts w:hint="eastAsia" w:ascii="宋体" w:hAnsi="宋体" w:eastAsia="宋体" w:cs="宋体"/>
                <w:color w:val="000000"/>
                <w:kern w:val="0"/>
                <w:sz w:val="24"/>
                <w:lang w:bidi="ar"/>
              </w:rPr>
              <w:t>卷闸门或钢木大门，铝合金窗，水电齐全，按规定配制消防设施，柱顶高度13.5米。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1091</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二等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独立基础，钢砼柱，钢砼屋架或者钢屋架，彩钢夹保温层屋面，有天窗，标准砖墙或砌块墙，地面为水泥砂浆（或细石砼）找平，</w:t>
            </w:r>
            <w:r>
              <w:rPr>
                <w:rFonts w:hint="eastAsia" w:ascii="宋体" w:hAnsi="宋体" w:eastAsia="宋体" w:cs="宋体"/>
                <w:kern w:val="0"/>
                <w:sz w:val="24"/>
              </w:rPr>
              <w:t>内墙普通抹灰，外墙高级抹灰、面砖饰面或喷涂，</w:t>
            </w:r>
            <w:r>
              <w:rPr>
                <w:rFonts w:hint="eastAsia" w:ascii="宋体" w:hAnsi="宋体" w:eastAsia="宋体" w:cs="宋体"/>
                <w:color w:val="000000"/>
                <w:kern w:val="0"/>
                <w:sz w:val="24"/>
                <w:lang w:bidi="ar"/>
              </w:rPr>
              <w:t>卷闸门或钢木大门，铝合金窗，水电齐全，按规定配制消防设施，柱顶高度10.5米。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970</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独立基础，钢砼柱，钢砼屋架或者钢屋架，彩钢夹保温层屋面，标准砖墙或砌块墙，地面为水泥砂浆（或细石砼）找平，</w:t>
            </w:r>
            <w:r>
              <w:rPr>
                <w:rFonts w:hint="eastAsia" w:ascii="宋体" w:hAnsi="宋体" w:eastAsia="宋体" w:cs="宋体"/>
                <w:kern w:val="0"/>
                <w:sz w:val="24"/>
              </w:rPr>
              <w:t>外墙较好抹灰、面砖饰面或喷涂，</w:t>
            </w:r>
            <w:r>
              <w:rPr>
                <w:rFonts w:hint="eastAsia" w:ascii="宋体" w:hAnsi="宋体" w:eastAsia="宋体" w:cs="宋体"/>
                <w:color w:val="000000"/>
                <w:kern w:val="0"/>
                <w:sz w:val="24"/>
                <w:lang w:bidi="ar"/>
              </w:rPr>
              <w:t>卷闸门或钢木大门，铝合金窗，水电齐全，按规定配制消防设施，柱顶高度7.5米。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861</w:t>
            </w:r>
          </w:p>
        </w:tc>
      </w:tr>
      <w:tr>
        <w:tblPrEx>
          <w:tblCellMar>
            <w:top w:w="0" w:type="dxa"/>
            <w:left w:w="0" w:type="dxa"/>
            <w:bottom w:w="0" w:type="dxa"/>
            <w:right w:w="0" w:type="dxa"/>
          </w:tblCellMar>
        </w:tblPrEx>
        <w:trPr>
          <w:trHeight w:val="1099"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四等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独立基础，钢砼柱，钢砼屋架或者钢屋架，彩钢夹保温层屋面，标准砖墙或砌块墙，地面为水泥砂浆（或细石砼）找平，</w:t>
            </w:r>
            <w:r>
              <w:rPr>
                <w:rFonts w:hint="eastAsia" w:ascii="宋体" w:hAnsi="宋体" w:eastAsia="宋体" w:cs="宋体"/>
                <w:kern w:val="0"/>
                <w:sz w:val="24"/>
              </w:rPr>
              <w:t>内墙普通抹灰，外墙一般抹灰、面砖饰面或喷涂，</w:t>
            </w:r>
            <w:r>
              <w:rPr>
                <w:rFonts w:hint="eastAsia" w:ascii="宋体" w:hAnsi="宋体" w:eastAsia="宋体" w:cs="宋体"/>
                <w:color w:val="000000"/>
                <w:kern w:val="0"/>
                <w:sz w:val="24"/>
                <w:lang w:bidi="ar"/>
              </w:rPr>
              <w:t>卷闸门或钢木大门，铝合金窗，水电齐全，按规定配制消防设施，柱顶高度4.5米。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766</w:t>
            </w:r>
          </w:p>
        </w:tc>
      </w:tr>
      <w:tr>
        <w:tblPrEx>
          <w:tblCellMar>
            <w:top w:w="0" w:type="dxa"/>
            <w:left w:w="0" w:type="dxa"/>
            <w:bottom w:w="0" w:type="dxa"/>
            <w:right w:w="0" w:type="dxa"/>
          </w:tblCellMar>
        </w:tblPrEx>
        <w:trPr>
          <w:trHeight w:val="1099" w:hRule="atLeast"/>
        </w:trPr>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全钢结构</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钢砼基础，钢柱，钢梁，彩钢板或砖墙墙面，彩钢板屋面，地面为水泥砂浆（或细石砼）找平，卷闸门或钢木大门，铝合金窗，水电齐全，按规定配制消防设施，净高度4.5米。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596</w:t>
            </w:r>
          </w:p>
        </w:tc>
      </w:tr>
      <w:tr>
        <w:tblPrEx>
          <w:tblCellMar>
            <w:top w:w="0" w:type="dxa"/>
            <w:left w:w="0" w:type="dxa"/>
            <w:bottom w:w="0" w:type="dxa"/>
            <w:right w:w="0" w:type="dxa"/>
          </w:tblCellMar>
        </w:tblPrEx>
        <w:trPr>
          <w:trHeight w:val="1339"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混合结构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标准砖墙或砌块墙，部分钢砼梁、柱承重，构造柱、钢砼圈梁，满堂基础或杯形基础，全现浇楼板，普通楼地面，现浇楼梯，现浇屋面或现浇斜屋面板加盖平瓦，内墙普通抹灰，</w:t>
            </w:r>
            <w:r>
              <w:rPr>
                <w:rFonts w:hint="eastAsia" w:ascii="宋体" w:hAnsi="宋体" w:eastAsia="宋体" w:cs="宋体"/>
                <w:kern w:val="0"/>
                <w:sz w:val="24"/>
              </w:rPr>
              <w:t>外墙高级抹灰、面砖饰面或喷涂</w:t>
            </w:r>
            <w:r>
              <w:rPr>
                <w:rFonts w:hint="eastAsia" w:ascii="宋体" w:hAnsi="宋体" w:eastAsia="宋体" w:cs="宋体"/>
                <w:color w:val="000000"/>
                <w:kern w:val="0"/>
                <w:sz w:val="24"/>
                <w:lang w:bidi="ar"/>
              </w:rPr>
              <w:t>，卷闸门、防盗门、木门，铝合金窗，水电卫齐全。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Cs/>
                <w:color w:val="000000"/>
                <w:kern w:val="0"/>
                <w:sz w:val="24"/>
                <w:lang w:bidi="ar"/>
              </w:rPr>
            </w:pPr>
            <w:r>
              <w:rPr>
                <w:rFonts w:hint="eastAsia" w:ascii="宋体" w:hAnsi="宋体" w:eastAsia="宋体" w:cs="宋体"/>
                <w:bCs/>
                <w:color w:val="000000"/>
                <w:kern w:val="0"/>
                <w:sz w:val="24"/>
                <w:lang w:bidi="ar"/>
              </w:rPr>
              <w:t>1051</w:t>
            </w:r>
          </w:p>
        </w:tc>
      </w:tr>
      <w:tr>
        <w:tblPrEx>
          <w:tblCellMar>
            <w:top w:w="0" w:type="dxa"/>
            <w:left w:w="0" w:type="dxa"/>
            <w:bottom w:w="0" w:type="dxa"/>
            <w:right w:w="0" w:type="dxa"/>
          </w:tblCellMar>
        </w:tblPrEx>
        <w:trPr>
          <w:trHeight w:val="1279"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二等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标准砖墙或砌块墙，部分钢砼梁、构造柱承重，构造柱、钢砼圈梁，块石基础或毛石砼条形基础，预制或部分现浇楼板，普通楼地面，刚性屋面，</w:t>
            </w:r>
            <w:r>
              <w:rPr>
                <w:rFonts w:hint="eastAsia" w:ascii="宋体" w:hAnsi="宋体" w:eastAsia="宋体" w:cs="宋体"/>
                <w:kern w:val="0"/>
                <w:sz w:val="24"/>
              </w:rPr>
              <w:t>内墙普通抹灰，外墙高级抹灰、面砖饰面或喷涂</w:t>
            </w:r>
            <w:r>
              <w:rPr>
                <w:rFonts w:hint="eastAsia" w:ascii="宋体" w:hAnsi="宋体" w:eastAsia="宋体" w:cs="宋体"/>
                <w:color w:val="000000"/>
                <w:kern w:val="0"/>
                <w:sz w:val="24"/>
                <w:lang w:bidi="ar"/>
              </w:rPr>
              <w:t>，卷闸门、防盗门、木门，铝合金窗，水电卫齐全。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962</w:t>
            </w:r>
          </w:p>
        </w:tc>
      </w:tr>
      <w:tr>
        <w:tblPrEx>
          <w:tblCellMar>
            <w:top w:w="0" w:type="dxa"/>
            <w:left w:w="0" w:type="dxa"/>
            <w:bottom w:w="0" w:type="dxa"/>
            <w:right w:w="0" w:type="dxa"/>
          </w:tblCellMar>
        </w:tblPrEx>
        <w:trPr>
          <w:trHeight w:val="870"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标准砖墙或砌块墙，部分钢砼梁，部分钢砼圈梁，块石基础，预制或较少现浇楼板，普通楼地面，预制屋面加盖平瓦，内墙普通抹灰，外墙一般抹灰或喷砂，卷闸门、防盗门、木门，铝合金窗，水电卫齐全。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852</w:t>
            </w:r>
          </w:p>
        </w:tc>
      </w:tr>
      <w:tr>
        <w:tblPrEx>
          <w:tblCellMar>
            <w:top w:w="0" w:type="dxa"/>
            <w:left w:w="0" w:type="dxa"/>
            <w:bottom w:w="0" w:type="dxa"/>
            <w:right w:w="0" w:type="dxa"/>
          </w:tblCellMar>
        </w:tblPrEx>
        <w:trPr>
          <w:trHeight w:val="638"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四等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标准砖墙或砌块墙，块石基础，少量钢砼梁，预制楼板，普通楼地面，平瓦屋面或屋面（隔热层），内外墙普通抹灰，木门窗，水电齐全。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758</w:t>
            </w:r>
          </w:p>
        </w:tc>
      </w:tr>
      <w:tr>
        <w:tblPrEx>
          <w:tblCellMar>
            <w:top w:w="0" w:type="dxa"/>
            <w:left w:w="0" w:type="dxa"/>
            <w:bottom w:w="0" w:type="dxa"/>
            <w:right w:w="0" w:type="dxa"/>
          </w:tblCellMar>
        </w:tblPrEx>
        <w:trPr>
          <w:trHeight w:val="904"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砖木结构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较好木梁柱或标准砖墙、砖柱承重，木屋架，条石或块石基础，水泥地面，木楼板，内外墙粉刷，琉璃瓦或平瓦、小青瓦屋面，木门窗，水电卫齐全。雕刻工艺好。</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807</w:t>
            </w:r>
          </w:p>
        </w:tc>
      </w:tr>
      <w:tr>
        <w:tblPrEx>
          <w:tblCellMar>
            <w:top w:w="0" w:type="dxa"/>
            <w:left w:w="0" w:type="dxa"/>
            <w:bottom w:w="0" w:type="dxa"/>
            <w:right w:w="0" w:type="dxa"/>
          </w:tblCellMar>
        </w:tblPrEx>
        <w:trPr>
          <w:trHeight w:val="938"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二等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较差木柱或砖墙承重，一般木屋架或木檩条，条石或块石基础，水泥地面或三合土地面，木楼板，内外墙一般粉刷或无粉刷，木门窗，一般瓦屋面，木门窗。简易雕刻工艺。</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675</w:t>
            </w:r>
          </w:p>
        </w:tc>
      </w:tr>
      <w:tr>
        <w:tblPrEx>
          <w:tblCellMar>
            <w:top w:w="0" w:type="dxa"/>
            <w:left w:w="0" w:type="dxa"/>
            <w:bottom w:w="0" w:type="dxa"/>
            <w:right w:w="0" w:type="dxa"/>
          </w:tblCellMar>
        </w:tblPrEx>
        <w:trPr>
          <w:trHeight w:val="504" w:hRule="atLeast"/>
        </w:trPr>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其它结构</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承重墙为泥木或沙墙承重，较好木屋架，普通木楼地板，小青瓦或平瓦屋面，一般内外抹灰，水泥地或三合土地面，木门窗。</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499</w:t>
            </w:r>
          </w:p>
        </w:tc>
      </w:tr>
      <w:tr>
        <w:tblPrEx>
          <w:tblCellMar>
            <w:top w:w="0" w:type="dxa"/>
            <w:left w:w="0" w:type="dxa"/>
            <w:bottom w:w="0" w:type="dxa"/>
            <w:right w:w="0" w:type="dxa"/>
          </w:tblCellMar>
        </w:tblPrEx>
        <w:trPr>
          <w:trHeight w:val="537"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二等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承重墙为泥木或沙墙承重，一般木屋架，较差木楼板，小青瓦或平瓦屋面，局部或较差内外抹灰，水泥地或三合土地面，木门窗。</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336</w:t>
            </w:r>
          </w:p>
        </w:tc>
      </w:tr>
      <w:tr>
        <w:tblPrEx>
          <w:tblCellMar>
            <w:top w:w="0" w:type="dxa"/>
            <w:left w:w="0" w:type="dxa"/>
            <w:bottom w:w="0" w:type="dxa"/>
            <w:right w:w="0" w:type="dxa"/>
          </w:tblCellMar>
        </w:tblPrEx>
        <w:trPr>
          <w:trHeight w:val="697" w:hRule="atLeast"/>
        </w:trPr>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三等</w:t>
            </w:r>
          </w:p>
        </w:tc>
        <w:tc>
          <w:tcPr>
            <w:tcW w:w="6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较差简易、泥、木（竹）结构，较差旧式木门窗；一般内抹灰，煤屑地或泥地。</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232</w:t>
            </w:r>
          </w:p>
        </w:tc>
      </w:tr>
    </w:tbl>
    <w:p>
      <w:pPr>
        <w:jc w:val="left"/>
        <w:rPr>
          <w:rFonts w:ascii="宋体" w:hAnsi="宋体" w:eastAsia="宋体" w:cs="宋体"/>
          <w:b/>
          <w:color w:val="000000"/>
          <w:sz w:val="28"/>
          <w:szCs w:val="28"/>
        </w:rPr>
      </w:pPr>
      <w:r>
        <w:rPr>
          <w:rFonts w:hint="eastAsia" w:ascii="宋体" w:hAnsi="宋体" w:eastAsia="宋体" w:cs="宋体"/>
          <w:b/>
          <w:color w:val="000000"/>
          <w:sz w:val="28"/>
          <w:szCs w:val="28"/>
        </w:rPr>
        <w:t>说明：</w:t>
      </w:r>
    </w:p>
    <w:p>
      <w:pPr>
        <w:numPr>
          <w:ilvl w:val="0"/>
          <w:numId w:val="0"/>
        </w:numPr>
        <w:spacing w:line="400" w:lineRule="exact"/>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1、房屋的重置价格包括前期工程费、建筑安装费和装饰装修费。</w:t>
      </w:r>
    </w:p>
    <w:p>
      <w:pPr>
        <w:numPr>
          <w:ilvl w:val="0"/>
          <w:numId w:val="0"/>
        </w:numPr>
        <w:spacing w:line="400" w:lineRule="exact"/>
        <w:ind w:firstLine="480" w:firstLineChars="200"/>
        <w:jc w:val="left"/>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层高调整：工业厂房层高，砖木结构净高度4-4.5米，每增减0.1米，价格增减0.5%；混合、钢混结构净高度4-4.5米，每增减0.1米，价格增减0.5%；；全钢结构净高度</w:t>
      </w:r>
      <w:r>
        <w:rPr>
          <w:rFonts w:hint="eastAsia" w:ascii="宋体" w:hAnsi="宋体" w:eastAsia="宋体" w:cs="宋体"/>
          <w:color w:val="000000"/>
          <w:sz w:val="24"/>
          <w:lang w:val="en-US" w:eastAsia="zh-CN"/>
        </w:rPr>
        <w:t>4.5-5</w:t>
      </w:r>
      <w:r>
        <w:rPr>
          <w:rFonts w:hint="eastAsia" w:ascii="宋体" w:hAnsi="宋体" w:eastAsia="宋体" w:cs="宋体"/>
          <w:color w:val="000000"/>
          <w:sz w:val="24"/>
        </w:rPr>
        <w:t>米，每增减0.1米，价格增减0.75%。</w:t>
      </w:r>
    </w:p>
    <w:p>
      <w:pPr>
        <w:numPr>
          <w:ilvl w:val="0"/>
          <w:numId w:val="0"/>
        </w:numPr>
        <w:spacing w:line="400" w:lineRule="exact"/>
        <w:ind w:firstLine="480" w:firstLineChars="200"/>
        <w:jc w:val="left"/>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地下室：净高度为3.5米的地下室重置价格为</w:t>
      </w:r>
      <w:r>
        <w:rPr>
          <w:rFonts w:hint="eastAsia" w:ascii="宋体" w:hAnsi="宋体" w:eastAsia="宋体" w:cs="宋体"/>
          <w:color w:val="000000"/>
          <w:sz w:val="24"/>
          <w:lang w:val="en-US" w:eastAsia="zh-CN"/>
        </w:rPr>
        <w:t>30</w:t>
      </w:r>
      <w:r>
        <w:rPr>
          <w:rFonts w:hint="eastAsia" w:ascii="宋体" w:hAnsi="宋体" w:eastAsia="宋体" w:cs="宋体"/>
          <w:color w:val="000000"/>
          <w:sz w:val="24"/>
        </w:rPr>
        <w:t>00元/平方米，净高度每增减0.1米，价格增减10元/平方米。</w:t>
      </w:r>
    </w:p>
    <w:p>
      <w:pPr>
        <w:spacing w:line="400" w:lineRule="exact"/>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4、普通装饰装修的各类别重置价格为相应标准的90%，无装饰装修地下室重置价格为相应标准的80%。根据装饰装修情况，各类别重置价格标准最低可降至相应标准的60%，特殊情况视实际确定。</w:t>
      </w:r>
    </w:p>
    <w:p>
      <w:pPr>
        <w:tabs>
          <w:tab w:val="left" w:pos="4981"/>
        </w:tabs>
        <w:jc w:val="both"/>
        <w:rPr>
          <w:rFonts w:hint="eastAsia" w:ascii="宋体" w:hAnsi="宋体" w:eastAsia="宋体" w:cs="宋体"/>
          <w:color w:val="000000"/>
          <w:sz w:val="24"/>
          <w:lang w:val="en-US" w:eastAsia="zh-CN"/>
        </w:rPr>
      </w:pPr>
      <w:r>
        <w:rPr>
          <w:rFonts w:hint="eastAsia" w:ascii="宋体" w:hAnsi="宋体" w:eastAsia="宋体" w:cs="宋体"/>
          <w:b/>
          <w:color w:val="000000"/>
          <w:sz w:val="36"/>
          <w:szCs w:val="36"/>
          <w:lang w:val="en-US" w:eastAsia="zh-CN"/>
        </w:rPr>
        <w:t xml:space="preserve">  </w:t>
      </w:r>
      <w:r>
        <w:rPr>
          <w:rFonts w:hint="eastAsia" w:ascii="宋体" w:hAnsi="宋体" w:eastAsia="宋体" w:cs="宋体"/>
          <w:color w:val="000000"/>
          <w:sz w:val="24"/>
          <w:lang w:val="en-US" w:eastAsia="zh-CN"/>
        </w:rPr>
        <w:t>5、工业用房重置价格附件：附件一：工业用房成新率标准</w:t>
      </w:r>
    </w:p>
    <w:p>
      <w:pPr>
        <w:tabs>
          <w:tab w:val="left" w:pos="4981"/>
        </w:tabs>
        <w:jc w:val="both"/>
        <w:rPr>
          <w:rFonts w:hint="eastAsia" w:ascii="宋体" w:hAnsi="宋体" w:eastAsia="宋体" w:cs="宋体"/>
          <w:color w:val="000000"/>
          <w:sz w:val="24"/>
          <w:lang w:val="en-US" w:eastAsia="zh-CN"/>
        </w:rPr>
      </w:pPr>
    </w:p>
    <w:p>
      <w:pPr>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附件一：</w:t>
      </w:r>
    </w:p>
    <w:p>
      <w:pPr>
        <w:tabs>
          <w:tab w:val="left" w:pos="4981"/>
        </w:tabs>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工业用房成新率标准</w:t>
      </w:r>
    </w:p>
    <w:tbl>
      <w:tblPr>
        <w:tblStyle w:val="4"/>
        <w:tblpPr w:leftFromText="180" w:rightFromText="180" w:vertAnchor="text" w:horzAnchor="page" w:tblpX="1224" w:tblpY="312"/>
        <w:tblOverlap w:val="never"/>
        <w:tblW w:w="9748" w:type="dxa"/>
        <w:tblInd w:w="0" w:type="dxa"/>
        <w:tblLayout w:type="fixed"/>
        <w:tblCellMar>
          <w:top w:w="0" w:type="dxa"/>
          <w:left w:w="0" w:type="dxa"/>
          <w:bottom w:w="0" w:type="dxa"/>
          <w:right w:w="0" w:type="dxa"/>
        </w:tblCellMar>
      </w:tblPr>
      <w:tblGrid>
        <w:gridCol w:w="1138"/>
        <w:gridCol w:w="1710"/>
        <w:gridCol w:w="1635"/>
        <w:gridCol w:w="1695"/>
        <w:gridCol w:w="1800"/>
        <w:gridCol w:w="1770"/>
      </w:tblGrid>
      <w:tr>
        <w:tblPrEx>
          <w:tblCellMar>
            <w:top w:w="0" w:type="dxa"/>
            <w:left w:w="0" w:type="dxa"/>
            <w:bottom w:w="0" w:type="dxa"/>
            <w:right w:w="0" w:type="dxa"/>
          </w:tblCellMar>
        </w:tblPrEx>
        <w:trPr>
          <w:trHeight w:val="1002" w:hRule="atLeast"/>
        </w:trPr>
        <w:tc>
          <w:tcPr>
            <w:tcW w:w="1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房屋结构</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钢混</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全钢</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混合</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砖木</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其它</w:t>
            </w:r>
          </w:p>
        </w:tc>
      </w:tr>
      <w:tr>
        <w:tblPrEx>
          <w:tblCellMar>
            <w:top w:w="0" w:type="dxa"/>
            <w:left w:w="0" w:type="dxa"/>
            <w:bottom w:w="0" w:type="dxa"/>
            <w:right w:w="0" w:type="dxa"/>
          </w:tblCellMar>
        </w:tblPrEx>
        <w:trPr>
          <w:trHeight w:val="1002" w:hRule="atLeast"/>
        </w:trPr>
        <w:tc>
          <w:tcPr>
            <w:tcW w:w="1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年折旧率  </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r>
      <w:tr>
        <w:tblPrEx>
          <w:tblCellMar>
            <w:top w:w="0" w:type="dxa"/>
            <w:left w:w="0" w:type="dxa"/>
            <w:bottom w:w="0" w:type="dxa"/>
            <w:right w:w="0" w:type="dxa"/>
          </w:tblCellMar>
        </w:tblPrEx>
        <w:trPr>
          <w:trHeight w:val="1002" w:hRule="atLeast"/>
        </w:trPr>
        <w:tc>
          <w:tcPr>
            <w:tcW w:w="1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最低不低于48%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最低不低于48%</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最低不低于43%</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最低不低于38%</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最低不低于30%</w:t>
            </w:r>
          </w:p>
        </w:tc>
      </w:tr>
      <w:tr>
        <w:tblPrEx>
          <w:tblCellMar>
            <w:top w:w="0" w:type="dxa"/>
            <w:left w:w="0" w:type="dxa"/>
            <w:bottom w:w="0" w:type="dxa"/>
            <w:right w:w="0" w:type="dxa"/>
          </w:tblCellMar>
        </w:tblPrEx>
        <w:trPr>
          <w:trHeight w:val="285" w:hRule="atLeast"/>
        </w:trPr>
        <w:tc>
          <w:tcPr>
            <w:tcW w:w="1138"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71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3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9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80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77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285" w:hRule="atLeast"/>
        </w:trPr>
        <w:tc>
          <w:tcPr>
            <w:tcW w:w="1138"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71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3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9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80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77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285" w:hRule="atLeast"/>
        </w:trPr>
        <w:tc>
          <w:tcPr>
            <w:tcW w:w="1138" w:type="dxa"/>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注：</w:t>
            </w:r>
          </w:p>
        </w:tc>
        <w:tc>
          <w:tcPr>
            <w:tcW w:w="171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3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69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80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1770"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99" w:hRule="atLeast"/>
        </w:trPr>
        <w:tc>
          <w:tcPr>
            <w:tcW w:w="9748" w:type="dxa"/>
            <w:gridSpan w:val="6"/>
            <w:tcBorders>
              <w:top w:val="nil"/>
              <w:left w:val="nil"/>
              <w:bottom w:val="nil"/>
              <w:right w:val="nil"/>
            </w:tcBorders>
            <w:tcMar>
              <w:top w:w="15" w:type="dxa"/>
              <w:left w:w="15" w:type="dxa"/>
              <w:right w:w="15" w:type="dxa"/>
            </w:tcMar>
            <w:vAlign w:val="center"/>
          </w:tcPr>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1.房屋经有关部门批准经过大修，改变房屋结构类别，按改变后的房屋类别评定房屋成新，大修日期视同建房日期。</w:t>
            </w:r>
          </w:p>
        </w:tc>
      </w:tr>
      <w:tr>
        <w:tblPrEx>
          <w:tblCellMar>
            <w:top w:w="0" w:type="dxa"/>
            <w:left w:w="0" w:type="dxa"/>
            <w:bottom w:w="0" w:type="dxa"/>
            <w:right w:w="0" w:type="dxa"/>
          </w:tblCellMar>
        </w:tblPrEx>
        <w:trPr>
          <w:trHeight w:val="799" w:hRule="atLeast"/>
        </w:trPr>
        <w:tc>
          <w:tcPr>
            <w:tcW w:w="9748" w:type="dxa"/>
            <w:gridSpan w:val="6"/>
            <w:tcBorders>
              <w:top w:val="nil"/>
              <w:left w:val="nil"/>
              <w:bottom w:val="nil"/>
              <w:right w:val="nil"/>
            </w:tcBorders>
            <w:tcMar>
              <w:top w:w="15" w:type="dxa"/>
              <w:left w:w="15" w:type="dxa"/>
              <w:right w:w="15" w:type="dxa"/>
            </w:tcMar>
            <w:vAlign w:val="center"/>
          </w:tcPr>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2.房屋主体结构经有关部门批准经过大修，但未改变房屋结构类别，其房屋的成新标准提高一成。</w:t>
            </w:r>
          </w:p>
        </w:tc>
      </w:tr>
      <w:tr>
        <w:tblPrEx>
          <w:tblCellMar>
            <w:top w:w="0" w:type="dxa"/>
            <w:left w:w="0" w:type="dxa"/>
            <w:bottom w:w="0" w:type="dxa"/>
            <w:right w:w="0" w:type="dxa"/>
          </w:tblCellMar>
        </w:tblPrEx>
        <w:trPr>
          <w:trHeight w:val="799" w:hRule="atLeast"/>
        </w:trPr>
        <w:tc>
          <w:tcPr>
            <w:tcW w:w="9748" w:type="dxa"/>
            <w:gridSpan w:val="6"/>
            <w:tcBorders>
              <w:top w:val="nil"/>
              <w:left w:val="nil"/>
              <w:bottom w:val="nil"/>
              <w:right w:val="nil"/>
            </w:tcBorders>
            <w:tcMar>
              <w:top w:w="15" w:type="dxa"/>
              <w:left w:w="15" w:type="dxa"/>
              <w:right w:w="15" w:type="dxa"/>
            </w:tcMar>
            <w:vAlign w:val="center"/>
          </w:tcPr>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3.房屋建成不满三年且属完好的，其成新可按全新房评定。</w:t>
            </w:r>
          </w:p>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4.房屋年折旧率参照房屋年折旧率标准结合实际情况确定。</w:t>
            </w:r>
          </w:p>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5.房屋年折旧率为1减已使用年限折旧率。其计算公式为：</w:t>
            </w:r>
          </w:p>
        </w:tc>
      </w:tr>
    </w:tbl>
    <w:p>
      <w:pPr>
        <w:numPr>
          <w:ilvl w:val="0"/>
          <w:numId w:val="0"/>
        </w:numPr>
        <w:spacing w:line="400" w:lineRule="exact"/>
        <w:jc w:val="left"/>
        <w:rPr>
          <w:rFonts w:hint="eastAsia" w:ascii="宋体" w:hAnsi="宋体" w:eastAsia="宋体" w:cs="宋体"/>
          <w:color w:val="000000"/>
          <w:sz w:val="24"/>
        </w:rPr>
      </w:pPr>
    </w:p>
    <w:p>
      <w:pPr>
        <w:numPr>
          <w:ilvl w:val="0"/>
          <w:numId w:val="0"/>
        </w:num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房屋年折旧率=1-年折旧率×已使用年限</w:t>
      </w:r>
    </w:p>
    <w:p>
      <w:pPr>
        <w:numPr>
          <w:ilvl w:val="0"/>
          <w:numId w:val="0"/>
        </w:numPr>
        <w:spacing w:line="400" w:lineRule="exact"/>
        <w:ind w:firstLine="480" w:firstLineChars="200"/>
        <w:jc w:val="left"/>
        <w:rPr>
          <w:rFonts w:hint="eastAsia" w:ascii="宋体" w:hAnsi="宋体" w:eastAsia="宋体" w:cs="宋体"/>
          <w:color w:val="000000"/>
          <w:sz w:val="24"/>
        </w:rPr>
      </w:pPr>
    </w:p>
    <w:p>
      <w:pPr>
        <w:jc w:val="center"/>
        <w:rPr>
          <w:rFonts w:ascii="宋体" w:hAnsi="宋体" w:eastAsia="宋体" w:cs="宋体"/>
          <w:b/>
          <w:color w:val="000000"/>
          <w:sz w:val="36"/>
          <w:szCs w:val="36"/>
        </w:rPr>
      </w:pPr>
    </w:p>
    <w:p>
      <w:pPr>
        <w:jc w:val="center"/>
        <w:rPr>
          <w:rFonts w:ascii="宋体" w:hAnsi="宋体" w:eastAsia="宋体" w:cs="宋体"/>
          <w:b/>
          <w:color w:val="000000"/>
          <w:sz w:val="36"/>
          <w:szCs w:val="36"/>
        </w:rPr>
      </w:pPr>
    </w:p>
    <w:p>
      <w:pPr>
        <w:jc w:val="center"/>
        <w:rPr>
          <w:rFonts w:ascii="宋体" w:hAnsi="宋体" w:eastAsia="宋体" w:cs="宋体"/>
          <w:b/>
          <w:color w:val="000000"/>
          <w:sz w:val="36"/>
          <w:szCs w:val="36"/>
        </w:rPr>
      </w:pPr>
    </w:p>
    <w:p>
      <w:pPr>
        <w:jc w:val="center"/>
        <w:rPr>
          <w:rFonts w:ascii="宋体" w:hAnsi="宋体" w:eastAsia="宋体" w:cs="宋体"/>
          <w:b/>
          <w:color w:val="000000"/>
          <w:sz w:val="36"/>
          <w:szCs w:val="36"/>
        </w:rPr>
      </w:pPr>
    </w:p>
    <w:p>
      <w:pPr>
        <w:jc w:val="center"/>
        <w:rPr>
          <w:rFonts w:ascii="宋体" w:hAnsi="宋体" w:eastAsia="宋体" w:cs="宋体"/>
          <w:b/>
          <w:color w:val="000000"/>
          <w:sz w:val="36"/>
          <w:szCs w:val="36"/>
        </w:rPr>
      </w:pPr>
    </w:p>
    <w:p>
      <w:pPr>
        <w:jc w:val="center"/>
        <w:rPr>
          <w:rFonts w:ascii="宋体" w:hAnsi="宋体" w:eastAsia="宋体" w:cs="宋体"/>
          <w:b/>
          <w:color w:val="000000"/>
          <w:sz w:val="36"/>
          <w:szCs w:val="36"/>
        </w:rPr>
      </w:pPr>
    </w:p>
    <w:p>
      <w:pPr>
        <w:jc w:val="left"/>
        <w:rPr>
          <w:rFonts w:hint="eastAsia" w:ascii="宋体" w:hAnsi="宋体" w:eastAsia="宋体" w:cs="宋体"/>
          <w:b/>
          <w:color w:val="000000"/>
          <w:sz w:val="30"/>
          <w:szCs w:val="30"/>
        </w:rPr>
      </w:pPr>
    </w:p>
    <w:p>
      <w:pPr>
        <w:tabs>
          <w:tab w:val="left" w:pos="4981"/>
        </w:tabs>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房屋地面附属物补偿标准</w:t>
      </w:r>
    </w:p>
    <w:tbl>
      <w:tblPr>
        <w:tblStyle w:val="4"/>
        <w:tblW w:w="9151" w:type="dxa"/>
        <w:jc w:val="center"/>
        <w:tblLayout w:type="autofit"/>
        <w:tblCellMar>
          <w:top w:w="0" w:type="dxa"/>
          <w:left w:w="0" w:type="dxa"/>
          <w:bottom w:w="0" w:type="dxa"/>
          <w:right w:w="0" w:type="dxa"/>
        </w:tblCellMar>
      </w:tblPr>
      <w:tblGrid>
        <w:gridCol w:w="1007"/>
        <w:gridCol w:w="1232"/>
        <w:gridCol w:w="3172"/>
        <w:gridCol w:w="1599"/>
        <w:gridCol w:w="2141"/>
      </w:tblGrid>
      <w:tr>
        <w:tblPrEx>
          <w:tblCellMar>
            <w:top w:w="0" w:type="dxa"/>
            <w:left w:w="0" w:type="dxa"/>
            <w:bottom w:w="0" w:type="dxa"/>
            <w:right w:w="0" w:type="dxa"/>
          </w:tblCellMar>
        </w:tblPrEx>
        <w:trPr>
          <w:trHeight w:val="520" w:hRule="atLeast"/>
          <w:tblHeader/>
          <w:jc w:val="center"/>
        </w:trPr>
        <w:tc>
          <w:tcPr>
            <w:tcW w:w="10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440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类  别</w:t>
            </w:r>
          </w:p>
        </w:tc>
        <w:tc>
          <w:tcPr>
            <w:tcW w:w="15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  位</w:t>
            </w:r>
          </w:p>
        </w:tc>
        <w:tc>
          <w:tcPr>
            <w:tcW w:w="21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补偿标准</w:t>
            </w:r>
          </w:p>
        </w:tc>
      </w:tr>
      <w:tr>
        <w:tblPrEx>
          <w:tblCellMar>
            <w:top w:w="0" w:type="dxa"/>
            <w:left w:w="0" w:type="dxa"/>
            <w:bottom w:w="0" w:type="dxa"/>
            <w:right w:w="0" w:type="dxa"/>
          </w:tblCellMar>
        </w:tblPrEx>
        <w:trPr>
          <w:trHeight w:val="312" w:hRule="atLeast"/>
          <w:tblHeader/>
          <w:jc w:val="center"/>
        </w:trPr>
        <w:tc>
          <w:tcPr>
            <w:tcW w:w="10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lang w:bidi="ar"/>
              </w:rPr>
            </w:pPr>
          </w:p>
        </w:tc>
        <w:tc>
          <w:tcPr>
            <w:tcW w:w="44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lang w:bidi="ar"/>
              </w:rPr>
            </w:pPr>
          </w:p>
        </w:tc>
        <w:tc>
          <w:tcPr>
            <w:tcW w:w="15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lang w:bidi="ar"/>
              </w:rPr>
            </w:pPr>
          </w:p>
        </w:tc>
        <w:tc>
          <w:tcPr>
            <w:tcW w:w="214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lang w:bidi="ar"/>
              </w:rPr>
            </w:pPr>
          </w:p>
        </w:tc>
      </w:tr>
      <w:tr>
        <w:tblPrEx>
          <w:tblCellMar>
            <w:top w:w="0" w:type="dxa"/>
            <w:left w:w="0" w:type="dxa"/>
            <w:bottom w:w="0" w:type="dxa"/>
            <w:right w:w="0" w:type="dxa"/>
          </w:tblCellMar>
        </w:tblPrEx>
        <w:trPr>
          <w:trHeight w:val="30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深水井</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3500-4500</w:t>
            </w:r>
          </w:p>
        </w:tc>
      </w:tr>
      <w:tr>
        <w:tblPrEx>
          <w:tblCellMar>
            <w:top w:w="0" w:type="dxa"/>
            <w:left w:w="0" w:type="dxa"/>
            <w:bottom w:w="0" w:type="dxa"/>
            <w:right w:w="0" w:type="dxa"/>
          </w:tblCellMar>
        </w:tblPrEx>
        <w:trPr>
          <w:trHeight w:val="18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人工井</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1500</w:t>
            </w:r>
          </w:p>
        </w:tc>
      </w:tr>
      <w:tr>
        <w:tblPrEx>
          <w:tblCellMar>
            <w:top w:w="0" w:type="dxa"/>
            <w:left w:w="0" w:type="dxa"/>
            <w:bottom w:w="0" w:type="dxa"/>
            <w:right w:w="0" w:type="dxa"/>
          </w:tblCellMar>
        </w:tblPrEx>
        <w:trPr>
          <w:trHeight w:val="29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管子井</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元/口</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600</w:t>
            </w:r>
          </w:p>
        </w:tc>
      </w:tr>
      <w:tr>
        <w:tblPrEx>
          <w:tblCellMar>
            <w:top w:w="0" w:type="dxa"/>
            <w:left w:w="0" w:type="dxa"/>
            <w:bottom w:w="0" w:type="dxa"/>
            <w:right w:w="0" w:type="dxa"/>
          </w:tblCellMar>
        </w:tblPrEx>
        <w:trPr>
          <w:trHeight w:val="309"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440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土灶头</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元/眼</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400</w:t>
            </w:r>
          </w:p>
        </w:tc>
      </w:tr>
      <w:tr>
        <w:tblPrEx>
          <w:tblCellMar>
            <w:top w:w="0" w:type="dxa"/>
            <w:left w:w="0" w:type="dxa"/>
            <w:bottom w:w="0" w:type="dxa"/>
            <w:right w:w="0" w:type="dxa"/>
          </w:tblCellMar>
        </w:tblPrEx>
        <w:trPr>
          <w:trHeight w:val="324"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44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元/双眼</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750</w:t>
            </w:r>
          </w:p>
        </w:tc>
      </w:tr>
      <w:tr>
        <w:tblPrEx>
          <w:tblCellMar>
            <w:top w:w="0" w:type="dxa"/>
            <w:left w:w="0" w:type="dxa"/>
            <w:bottom w:w="0" w:type="dxa"/>
            <w:right w:w="0" w:type="dxa"/>
          </w:tblCellMar>
        </w:tblPrEx>
        <w:trPr>
          <w:trHeight w:val="21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泥围墙</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60</w:t>
            </w:r>
          </w:p>
        </w:tc>
      </w:tr>
      <w:tr>
        <w:tblPrEx>
          <w:tblCellMar>
            <w:top w:w="0" w:type="dxa"/>
            <w:left w:w="0" w:type="dxa"/>
            <w:bottom w:w="0" w:type="dxa"/>
            <w:right w:w="0" w:type="dxa"/>
          </w:tblCellMar>
        </w:tblPrEx>
        <w:trPr>
          <w:trHeight w:val="33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砖围墙</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240</w:t>
            </w:r>
          </w:p>
        </w:tc>
      </w:tr>
      <w:tr>
        <w:tblPrEx>
          <w:tblCellMar>
            <w:top w:w="0" w:type="dxa"/>
            <w:left w:w="0" w:type="dxa"/>
            <w:bottom w:w="0" w:type="dxa"/>
            <w:right w:w="0" w:type="dxa"/>
          </w:tblCellMar>
        </w:tblPrEx>
        <w:trPr>
          <w:trHeight w:val="26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化粪池</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元/个</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1500</w:t>
            </w:r>
          </w:p>
        </w:tc>
      </w:tr>
      <w:tr>
        <w:tblPrEx>
          <w:tblCellMar>
            <w:top w:w="0" w:type="dxa"/>
            <w:left w:w="0" w:type="dxa"/>
            <w:bottom w:w="0" w:type="dxa"/>
            <w:right w:w="0" w:type="dxa"/>
          </w:tblCellMar>
        </w:tblPrEx>
        <w:trPr>
          <w:trHeight w:val="32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有水泥砼雨棚的台门</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420</w:t>
            </w:r>
          </w:p>
        </w:tc>
      </w:tr>
      <w:tr>
        <w:tblPrEx>
          <w:tblCellMar>
            <w:top w:w="0" w:type="dxa"/>
            <w:left w:w="0" w:type="dxa"/>
            <w:bottom w:w="0" w:type="dxa"/>
            <w:right w:w="0" w:type="dxa"/>
          </w:tblCellMar>
        </w:tblPrEx>
        <w:trPr>
          <w:trHeight w:val="29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预制台门</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130</w:t>
            </w:r>
          </w:p>
        </w:tc>
      </w:tr>
      <w:tr>
        <w:tblPrEx>
          <w:tblCellMar>
            <w:top w:w="0" w:type="dxa"/>
            <w:left w:w="0" w:type="dxa"/>
            <w:bottom w:w="0" w:type="dxa"/>
            <w:right w:w="0" w:type="dxa"/>
          </w:tblCellMar>
        </w:tblPrEx>
        <w:trPr>
          <w:trHeight w:val="30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现浇台门</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280</w:t>
            </w:r>
          </w:p>
        </w:tc>
      </w:tr>
      <w:tr>
        <w:tblPrEx>
          <w:tblCellMar>
            <w:top w:w="0" w:type="dxa"/>
            <w:left w:w="0" w:type="dxa"/>
            <w:bottom w:w="0" w:type="dxa"/>
            <w:right w:w="0" w:type="dxa"/>
          </w:tblCellMar>
        </w:tblPrEx>
        <w:trPr>
          <w:trHeight w:val="32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743"/>
              </w:tabs>
              <w:jc w:val="left"/>
              <w:textAlignment w:val="center"/>
              <w:rPr>
                <w:rFonts w:ascii="宋体" w:hAnsi="宋体" w:eastAsia="宋体" w:cs="宋体"/>
                <w:sz w:val="24"/>
              </w:rPr>
            </w:pPr>
            <w:r>
              <w:rPr>
                <w:rFonts w:hint="eastAsia" w:ascii="宋体" w:hAnsi="宋体" w:eastAsia="宋体" w:cs="宋体"/>
                <w:kern w:val="0"/>
                <w:sz w:val="24"/>
                <w:lang w:bidi="ar"/>
              </w:rPr>
              <w:tab/>
            </w:r>
            <w:r>
              <w:rPr>
                <w:rFonts w:hint="eastAsia" w:ascii="宋体" w:hAnsi="宋体" w:eastAsia="宋体" w:cs="宋体"/>
                <w:kern w:val="0"/>
                <w:sz w:val="24"/>
                <w:lang w:bidi="ar"/>
              </w:rPr>
              <w:t>现浇坡顶台门</w:t>
            </w:r>
            <w:r>
              <w:rPr>
                <w:rFonts w:hint="eastAsia" w:ascii="宋体" w:hAnsi="宋体" w:eastAsia="宋体" w:cs="宋体"/>
                <w:kern w:val="0"/>
                <w:sz w:val="24"/>
                <w:lang w:bidi="ar"/>
              </w:rPr>
              <w:tab/>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400</w:t>
            </w:r>
          </w:p>
        </w:tc>
      </w:tr>
      <w:tr>
        <w:tblPrEx>
          <w:tblCellMar>
            <w:top w:w="0" w:type="dxa"/>
            <w:left w:w="0" w:type="dxa"/>
            <w:bottom w:w="0" w:type="dxa"/>
            <w:right w:w="0" w:type="dxa"/>
          </w:tblCellMar>
        </w:tblPrEx>
        <w:trPr>
          <w:trHeight w:val="32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12</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老式砖木台门</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130</w:t>
            </w:r>
          </w:p>
        </w:tc>
      </w:tr>
      <w:tr>
        <w:tblPrEx>
          <w:tblCellMar>
            <w:top w:w="0" w:type="dxa"/>
            <w:left w:w="0" w:type="dxa"/>
            <w:bottom w:w="0" w:type="dxa"/>
            <w:right w:w="0" w:type="dxa"/>
          </w:tblCellMar>
        </w:tblPrEx>
        <w:trPr>
          <w:trHeight w:val="23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室外水泥地坪</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75</w:t>
            </w:r>
          </w:p>
        </w:tc>
      </w:tr>
      <w:tr>
        <w:tblPrEx>
          <w:tblCellMar>
            <w:top w:w="0" w:type="dxa"/>
            <w:left w:w="0" w:type="dxa"/>
            <w:bottom w:w="0" w:type="dxa"/>
            <w:right w:w="0" w:type="dxa"/>
          </w:tblCellMar>
        </w:tblPrEx>
        <w:trPr>
          <w:trHeight w:val="30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宽带迁移费（2次）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元/个/次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178</w:t>
            </w:r>
          </w:p>
        </w:tc>
      </w:tr>
      <w:tr>
        <w:tblPrEx>
          <w:tblCellMar>
            <w:top w:w="0" w:type="dxa"/>
            <w:left w:w="0" w:type="dxa"/>
            <w:bottom w:w="0" w:type="dxa"/>
            <w:right w:w="0" w:type="dxa"/>
          </w:tblCellMar>
        </w:tblPrEx>
        <w:trPr>
          <w:trHeight w:val="30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柜式空调迁移费（2次）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300</w:t>
            </w:r>
          </w:p>
        </w:tc>
      </w:tr>
      <w:tr>
        <w:tblPrEx>
          <w:tblCellMar>
            <w:top w:w="0" w:type="dxa"/>
            <w:left w:w="0" w:type="dxa"/>
            <w:bottom w:w="0" w:type="dxa"/>
            <w:right w:w="0" w:type="dxa"/>
          </w:tblCellMar>
        </w:tblPrEx>
        <w:trPr>
          <w:trHeight w:val="33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挂式空调迁移费（2次）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250</w:t>
            </w:r>
          </w:p>
        </w:tc>
      </w:tr>
      <w:tr>
        <w:tblPrEx>
          <w:tblCellMar>
            <w:top w:w="0" w:type="dxa"/>
            <w:left w:w="0" w:type="dxa"/>
            <w:bottom w:w="0" w:type="dxa"/>
            <w:right w:w="0" w:type="dxa"/>
          </w:tblCellMar>
        </w:tblPrEx>
        <w:trPr>
          <w:trHeight w:val="27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太阳能热水器迁移费（2次）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300</w:t>
            </w:r>
          </w:p>
        </w:tc>
      </w:tr>
      <w:tr>
        <w:tblPrEx>
          <w:tblCellMar>
            <w:top w:w="0" w:type="dxa"/>
            <w:left w:w="0" w:type="dxa"/>
            <w:bottom w:w="0" w:type="dxa"/>
            <w:right w:w="0" w:type="dxa"/>
          </w:tblCellMar>
        </w:tblPrEx>
        <w:trPr>
          <w:trHeight w:val="36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电话机迁移费（2次）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元/门/次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108</w:t>
            </w:r>
          </w:p>
        </w:tc>
      </w:tr>
      <w:tr>
        <w:tblPrEx>
          <w:tblCellMar>
            <w:top w:w="0" w:type="dxa"/>
            <w:left w:w="0" w:type="dxa"/>
            <w:bottom w:w="0" w:type="dxa"/>
            <w:right w:w="0" w:type="dxa"/>
          </w:tblCellMar>
        </w:tblPrEx>
        <w:trPr>
          <w:trHeight w:val="45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19</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有线电视迁移费（按每户一个输出口计）（2次）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300</w:t>
            </w:r>
          </w:p>
        </w:tc>
      </w:tr>
      <w:tr>
        <w:tblPrEx>
          <w:tblCellMar>
            <w:top w:w="0" w:type="dxa"/>
            <w:left w:w="0" w:type="dxa"/>
            <w:bottom w:w="0" w:type="dxa"/>
            <w:right w:w="0" w:type="dxa"/>
          </w:tblCellMar>
        </w:tblPrEx>
        <w:trPr>
          <w:trHeight w:val="219"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20</w:t>
            </w:r>
          </w:p>
        </w:tc>
        <w:tc>
          <w:tcPr>
            <w:tcW w:w="12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电表</w:t>
            </w:r>
          </w:p>
        </w:tc>
        <w:tc>
          <w:tcPr>
            <w:tcW w:w="31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单相电表补偿费</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100</w:t>
            </w:r>
          </w:p>
        </w:tc>
      </w:tr>
      <w:tr>
        <w:tblPrEx>
          <w:tblCellMar>
            <w:top w:w="0" w:type="dxa"/>
            <w:left w:w="0" w:type="dxa"/>
            <w:bottom w:w="0" w:type="dxa"/>
            <w:right w:w="0" w:type="dxa"/>
          </w:tblCellMar>
        </w:tblPrEx>
        <w:trPr>
          <w:trHeight w:val="384"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31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集体分表补偿费</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w:t>
            </w:r>
          </w:p>
        </w:tc>
      </w:tr>
      <w:tr>
        <w:tblPrEx>
          <w:tblCellMar>
            <w:top w:w="0" w:type="dxa"/>
            <w:left w:w="0" w:type="dxa"/>
            <w:bottom w:w="0" w:type="dxa"/>
            <w:right w:w="0" w:type="dxa"/>
          </w:tblCellMar>
        </w:tblPrEx>
        <w:trPr>
          <w:trHeight w:val="294"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123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宋体"/>
                <w:sz w:val="24"/>
              </w:rPr>
            </w:pPr>
          </w:p>
        </w:tc>
        <w:tc>
          <w:tcPr>
            <w:tcW w:w="31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三相电表补偿费</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200</w:t>
            </w:r>
          </w:p>
        </w:tc>
      </w:tr>
      <w:tr>
        <w:tblPrEx>
          <w:tblCellMar>
            <w:top w:w="0" w:type="dxa"/>
            <w:left w:w="0" w:type="dxa"/>
            <w:bottom w:w="0" w:type="dxa"/>
            <w:right w:w="0" w:type="dxa"/>
          </w:tblCellMar>
        </w:tblPrEx>
        <w:trPr>
          <w:trHeight w:val="387"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21</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水表迁移费</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800</w:t>
            </w:r>
          </w:p>
        </w:tc>
      </w:tr>
      <w:tr>
        <w:tblPrEx>
          <w:tblCellMar>
            <w:top w:w="0" w:type="dxa"/>
            <w:left w:w="0" w:type="dxa"/>
            <w:bottom w:w="0" w:type="dxa"/>
            <w:right w:w="0" w:type="dxa"/>
          </w:tblCellMar>
        </w:tblPrEx>
        <w:trPr>
          <w:trHeight w:val="363"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255"/>
              </w:tabs>
              <w:jc w:val="center"/>
              <w:textAlignment w:val="center"/>
              <w:rPr>
                <w:rFonts w:ascii="宋体" w:hAnsi="宋体" w:eastAsia="宋体" w:cs="宋体"/>
                <w:sz w:val="24"/>
              </w:rPr>
            </w:pPr>
            <w:r>
              <w:rPr>
                <w:rFonts w:hint="eastAsia" w:ascii="宋体" w:hAnsi="宋体" w:eastAsia="宋体" w:cs="宋体"/>
                <w:kern w:val="0"/>
                <w:sz w:val="24"/>
                <w:lang w:bidi="ar"/>
              </w:rPr>
              <w:t>不锈钢水箱（2次）</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widowControl/>
              <w:tabs>
                <w:tab w:val="center" w:pos="2247"/>
                <w:tab w:val="left" w:pos="3255"/>
              </w:tabs>
              <w:jc w:val="center"/>
              <w:textAlignment w:val="center"/>
              <w:rPr>
                <w:rFonts w:ascii="宋体" w:hAnsi="宋体" w:eastAsia="宋体" w:cs="宋体"/>
                <w:sz w:val="24"/>
              </w:rPr>
            </w:pPr>
            <w:r>
              <w:rPr>
                <w:rFonts w:hint="eastAsia" w:ascii="宋体" w:hAnsi="宋体" w:eastAsia="宋体" w:cs="宋体"/>
                <w:kern w:val="0"/>
                <w:sz w:val="24"/>
                <w:lang w:bidi="ar"/>
              </w:rPr>
              <w:t>元/台/次</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widowControl/>
              <w:tabs>
                <w:tab w:val="center" w:pos="2247"/>
                <w:tab w:val="left" w:pos="3255"/>
              </w:tabs>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400</w:t>
            </w:r>
          </w:p>
        </w:tc>
      </w:tr>
      <w:tr>
        <w:tblPrEx>
          <w:tblCellMar>
            <w:top w:w="0" w:type="dxa"/>
            <w:left w:w="0" w:type="dxa"/>
            <w:bottom w:w="0" w:type="dxa"/>
            <w:right w:w="0" w:type="dxa"/>
          </w:tblCellMar>
        </w:tblPrEx>
        <w:trPr>
          <w:trHeight w:val="26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23</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屋顶隔热层</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230</w:t>
            </w:r>
          </w:p>
        </w:tc>
      </w:tr>
      <w:tr>
        <w:tblPrEx>
          <w:tblCellMar>
            <w:top w:w="0" w:type="dxa"/>
            <w:left w:w="0" w:type="dxa"/>
            <w:bottom w:w="0" w:type="dxa"/>
            <w:right w:w="0" w:type="dxa"/>
          </w:tblCellMar>
        </w:tblPrEx>
        <w:trPr>
          <w:trHeight w:val="21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24</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屋顶混凝土水箱</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160</w:t>
            </w:r>
          </w:p>
        </w:tc>
      </w:tr>
      <w:tr>
        <w:tblPrEx>
          <w:tblCellMar>
            <w:top w:w="0" w:type="dxa"/>
            <w:left w:w="0" w:type="dxa"/>
            <w:bottom w:w="0" w:type="dxa"/>
            <w:right w:w="0" w:type="dxa"/>
          </w:tblCellMar>
        </w:tblPrEx>
        <w:trPr>
          <w:trHeight w:val="90"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25</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鱼池、水池</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900</w:t>
            </w:r>
          </w:p>
        </w:tc>
      </w:tr>
      <w:tr>
        <w:tblPrEx>
          <w:tblCellMar>
            <w:top w:w="0" w:type="dxa"/>
            <w:left w:w="0" w:type="dxa"/>
            <w:bottom w:w="0" w:type="dxa"/>
            <w:right w:w="0" w:type="dxa"/>
          </w:tblCellMar>
        </w:tblPrEx>
        <w:trPr>
          <w:trHeight w:val="27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26</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假山（石笋）</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400</w:t>
            </w:r>
          </w:p>
        </w:tc>
      </w:tr>
      <w:tr>
        <w:tblPrEx>
          <w:tblCellMar>
            <w:top w:w="0" w:type="dxa"/>
            <w:left w:w="0" w:type="dxa"/>
            <w:bottom w:w="0" w:type="dxa"/>
            <w:right w:w="0" w:type="dxa"/>
          </w:tblCellMar>
        </w:tblPrEx>
        <w:trPr>
          <w:trHeight w:val="29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27</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花坛</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w:t>
            </w:r>
          </w:p>
        </w:tc>
      </w:tr>
      <w:tr>
        <w:tblPrEx>
          <w:tblCellMar>
            <w:top w:w="0" w:type="dxa"/>
            <w:left w:w="0" w:type="dxa"/>
            <w:bottom w:w="0" w:type="dxa"/>
            <w:right w:w="0" w:type="dxa"/>
          </w:tblCellMar>
        </w:tblPrEx>
        <w:trPr>
          <w:trHeight w:val="32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灌木丛</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元/平方米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w:t>
            </w:r>
          </w:p>
        </w:tc>
      </w:tr>
      <w:tr>
        <w:tblPrEx>
          <w:tblCellMar>
            <w:top w:w="0" w:type="dxa"/>
            <w:left w:w="0" w:type="dxa"/>
            <w:bottom w:w="0" w:type="dxa"/>
            <w:right w:w="0" w:type="dxa"/>
          </w:tblCellMar>
        </w:tblPrEx>
        <w:trPr>
          <w:trHeight w:val="27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29</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沼气池</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元/立方米</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125</w:t>
            </w:r>
          </w:p>
        </w:tc>
      </w:tr>
      <w:tr>
        <w:tblPrEx>
          <w:tblCellMar>
            <w:top w:w="0" w:type="dxa"/>
            <w:left w:w="0" w:type="dxa"/>
            <w:bottom w:w="0" w:type="dxa"/>
            <w:right w:w="0" w:type="dxa"/>
          </w:tblCellMar>
        </w:tblPrEx>
        <w:trPr>
          <w:trHeight w:val="249"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30</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猪（牛）栏</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元/个</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350</w:t>
            </w:r>
          </w:p>
        </w:tc>
      </w:tr>
      <w:tr>
        <w:tblPrEx>
          <w:tblCellMar>
            <w:top w:w="0" w:type="dxa"/>
            <w:left w:w="0" w:type="dxa"/>
            <w:bottom w:w="0" w:type="dxa"/>
            <w:right w:w="0" w:type="dxa"/>
          </w:tblCellMar>
        </w:tblPrEx>
        <w:trPr>
          <w:trHeight w:val="244"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31</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监控迁移费</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元/点</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150</w:t>
            </w:r>
          </w:p>
        </w:tc>
      </w:tr>
      <w:tr>
        <w:tblPrEx>
          <w:tblCellMar>
            <w:top w:w="0" w:type="dxa"/>
            <w:left w:w="0" w:type="dxa"/>
            <w:bottom w:w="0" w:type="dxa"/>
            <w:right w:w="0" w:type="dxa"/>
          </w:tblCellMar>
        </w:tblPrEx>
        <w:trPr>
          <w:trHeight w:val="447"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32</w:t>
            </w:r>
          </w:p>
        </w:tc>
        <w:tc>
          <w:tcPr>
            <w:tcW w:w="440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center" w:pos="2247"/>
                <w:tab w:val="left" w:pos="3255"/>
              </w:tabs>
              <w:jc w:val="left"/>
              <w:textAlignment w:val="center"/>
              <w:rPr>
                <w:rFonts w:ascii="宋体" w:hAnsi="宋体" w:eastAsia="宋体" w:cs="宋体"/>
                <w:kern w:val="0"/>
                <w:sz w:val="24"/>
                <w:lang w:bidi="ar"/>
              </w:rPr>
            </w:pPr>
            <w:r>
              <w:rPr>
                <w:rFonts w:hint="eastAsia" w:ascii="宋体" w:hAnsi="宋体" w:eastAsia="宋体" w:cs="宋体"/>
                <w:kern w:val="0"/>
                <w:sz w:val="24"/>
                <w:lang w:bidi="ar"/>
              </w:rPr>
              <w:tab/>
            </w:r>
            <w:r>
              <w:rPr>
                <w:rFonts w:hint="eastAsia" w:ascii="宋体" w:hAnsi="宋体" w:eastAsia="宋体" w:cs="宋体"/>
                <w:kern w:val="0"/>
                <w:sz w:val="24"/>
                <w:lang w:bidi="ar"/>
              </w:rPr>
              <w:t>天然气</w:t>
            </w:r>
            <w:r>
              <w:rPr>
                <w:rFonts w:hint="eastAsia" w:ascii="宋体" w:hAnsi="宋体" w:eastAsia="宋体" w:cs="宋体"/>
                <w:kern w:val="0"/>
                <w:sz w:val="24"/>
                <w:lang w:bidi="ar"/>
              </w:rPr>
              <w:tab/>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元/户</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平面1500/垂直3500</w:t>
            </w:r>
          </w:p>
        </w:tc>
      </w:tr>
    </w:tbl>
    <w:p>
      <w:pPr>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注：1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以下项目已计入房屋的搬家补助费中，不予补偿：热水器（煤气、电、气电两用）、净水器、活性水生成器、离子水处理器、吊扇、壁扇、吊灯、浴霸、取暧器、卫生间暧风器、煤气灶、油烟机、整体浴房、煤气灶台等。</w:t>
      </w:r>
    </w:p>
    <w:p>
      <w:pPr>
        <w:numPr>
          <w:ilvl w:val="0"/>
          <w:numId w:val="0"/>
        </w:numPr>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以下项目已在装修评估中解决或属于房屋主体结构的组成部分，不另行补偿：铝合金卷帘门、推拉门、防盗门、防盗窗、钢闸门、顶楼平台隔墙、栏杆（铁、水泥等）、不锈钢檐口、阳台花架、走廊水槽、地下室排水沟、下水排污沟、烟囱等。 </w:t>
      </w:r>
      <w:r>
        <w:rPr>
          <w:rFonts w:hint="eastAsia" w:ascii="宋体" w:hAnsi="宋体" w:eastAsia="宋体" w:cs="宋体"/>
          <w:color w:val="000000"/>
          <w:kern w:val="0"/>
          <w:sz w:val="24"/>
        </w:rPr>
        <w:tab/>
      </w:r>
    </w:p>
    <w:p>
      <w:pPr>
        <w:numPr>
          <w:ilvl w:val="0"/>
          <w:numId w:val="0"/>
        </w:numPr>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以下项目不予补偿：卫星接收器、窨井、台阶、现浇水泥板、洗衣板等。</w:t>
      </w:r>
    </w:p>
    <w:p>
      <w:pPr>
        <w:spacing w:line="400" w:lineRule="exact"/>
        <w:ind w:left="840" w:leftChars="400"/>
        <w:rPr>
          <w:rFonts w:ascii="宋体" w:hAnsi="宋体" w:eastAsia="宋体" w:cs="宋体"/>
          <w:color w:val="000000"/>
          <w:kern w:val="0"/>
          <w:sz w:val="24"/>
        </w:rPr>
      </w:pPr>
    </w:p>
    <w:p>
      <w:pPr>
        <w:spacing w:line="400" w:lineRule="exact"/>
        <w:ind w:firstLine="960" w:firstLineChars="400"/>
        <w:rPr>
          <w:rFonts w:ascii="宋体" w:hAnsi="宋体" w:eastAsia="宋体" w:cs="宋体"/>
          <w:color w:val="000000"/>
          <w:kern w:val="0"/>
          <w:sz w:val="24"/>
        </w:rPr>
      </w:pPr>
    </w:p>
    <w:p>
      <w:pPr>
        <w:rPr>
          <w:rFonts w:hint="default" w:ascii="Times New Roman" w:hAnsi="Times New Roman" w:cs="Times New Roman"/>
          <w:b/>
          <w:color w:val="FF0000"/>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DE26EE-E5C1-485C-B7E2-D9F2279669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F58A94F-A559-452E-AD1C-73C3B2AFD75E}"/>
  </w:font>
  <w:font w:name="方正楷体_GBK">
    <w:panose1 w:val="02000000000000000000"/>
    <w:charset w:val="86"/>
    <w:family w:val="auto"/>
    <w:pitch w:val="default"/>
    <w:sig w:usb0="800002BF" w:usb1="38CF7CFA" w:usb2="00000016"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F2E89BA2-1C79-4C31-AF8D-EACA1AE605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JmMzFjMjgzNmUxNWU3NDRkZDRhM2M4ZjEyZDkifQ=="/>
  </w:docVars>
  <w:rsids>
    <w:rsidRoot w:val="00204F97"/>
    <w:rsid w:val="000B3A5C"/>
    <w:rsid w:val="000C1CCE"/>
    <w:rsid w:val="00112C66"/>
    <w:rsid w:val="00146FA5"/>
    <w:rsid w:val="001672F0"/>
    <w:rsid w:val="001C7FA7"/>
    <w:rsid w:val="00204F97"/>
    <w:rsid w:val="00215539"/>
    <w:rsid w:val="00232E44"/>
    <w:rsid w:val="00240D25"/>
    <w:rsid w:val="0028358A"/>
    <w:rsid w:val="00350A03"/>
    <w:rsid w:val="003548CA"/>
    <w:rsid w:val="00395129"/>
    <w:rsid w:val="003B3702"/>
    <w:rsid w:val="004046EC"/>
    <w:rsid w:val="0046645C"/>
    <w:rsid w:val="00541DAE"/>
    <w:rsid w:val="00566212"/>
    <w:rsid w:val="00647A23"/>
    <w:rsid w:val="00703BA2"/>
    <w:rsid w:val="00765686"/>
    <w:rsid w:val="007962C9"/>
    <w:rsid w:val="00821FA6"/>
    <w:rsid w:val="009041E4"/>
    <w:rsid w:val="00941164"/>
    <w:rsid w:val="009C3266"/>
    <w:rsid w:val="009D37CB"/>
    <w:rsid w:val="009E015C"/>
    <w:rsid w:val="00A02EFF"/>
    <w:rsid w:val="00A97BA1"/>
    <w:rsid w:val="00AF72DB"/>
    <w:rsid w:val="00B03017"/>
    <w:rsid w:val="00B55C13"/>
    <w:rsid w:val="00B861F4"/>
    <w:rsid w:val="00BC30C4"/>
    <w:rsid w:val="00C20C2B"/>
    <w:rsid w:val="00CD6C5B"/>
    <w:rsid w:val="00D631D8"/>
    <w:rsid w:val="00DC5552"/>
    <w:rsid w:val="00E3593D"/>
    <w:rsid w:val="00F537A9"/>
    <w:rsid w:val="05C313AC"/>
    <w:rsid w:val="076D1C05"/>
    <w:rsid w:val="08DC43BD"/>
    <w:rsid w:val="0BC4527F"/>
    <w:rsid w:val="0CE409EE"/>
    <w:rsid w:val="0DC05188"/>
    <w:rsid w:val="10E741A0"/>
    <w:rsid w:val="15F04171"/>
    <w:rsid w:val="169721C5"/>
    <w:rsid w:val="187D0DF6"/>
    <w:rsid w:val="18AF5EEB"/>
    <w:rsid w:val="19470C49"/>
    <w:rsid w:val="1A9F5F63"/>
    <w:rsid w:val="1AEB0D31"/>
    <w:rsid w:val="23356FED"/>
    <w:rsid w:val="233E6D97"/>
    <w:rsid w:val="23A04774"/>
    <w:rsid w:val="244C5DE6"/>
    <w:rsid w:val="253708AE"/>
    <w:rsid w:val="28D43059"/>
    <w:rsid w:val="2DF34BF7"/>
    <w:rsid w:val="2F4B0EE5"/>
    <w:rsid w:val="3278310E"/>
    <w:rsid w:val="33664FA1"/>
    <w:rsid w:val="3C166A9C"/>
    <w:rsid w:val="3CF87D15"/>
    <w:rsid w:val="3F1D3CA4"/>
    <w:rsid w:val="404B505B"/>
    <w:rsid w:val="4238169B"/>
    <w:rsid w:val="431223FC"/>
    <w:rsid w:val="433012C7"/>
    <w:rsid w:val="4BE31A9F"/>
    <w:rsid w:val="4E2B23E1"/>
    <w:rsid w:val="4EC03F7B"/>
    <w:rsid w:val="52BA54A0"/>
    <w:rsid w:val="57D040B3"/>
    <w:rsid w:val="592330BB"/>
    <w:rsid w:val="59C34D02"/>
    <w:rsid w:val="5EBF52BD"/>
    <w:rsid w:val="5FFEF069"/>
    <w:rsid w:val="61DE2022"/>
    <w:rsid w:val="6D31615E"/>
    <w:rsid w:val="76C53359"/>
    <w:rsid w:val="793B2530"/>
    <w:rsid w:val="7C832CED"/>
    <w:rsid w:val="7CAD6E14"/>
    <w:rsid w:val="7D357A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10</Pages>
  <Words>5749</Words>
  <Characters>6212</Characters>
  <Lines>20</Lines>
  <Paragraphs>5</Paragraphs>
  <TotalTime>26</TotalTime>
  <ScaleCrop>false</ScaleCrop>
  <LinksUpToDate>false</LinksUpToDate>
  <CharactersWithSpaces>6252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2019-07-15T17:26:00Z</dcterms:created>
  <dc:creator>龚紫艳</dc:creator>
  <cp:lastModifiedBy>S</cp:lastModifiedBy>
  <cp:lastPrinted>2018-07-02T13:08:00Z</cp:lastPrinted>
  <dcterms:modified xsi:type="dcterms:W3CDTF">2023-08-02T00:42:04Z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C0225364D867430096BAC2588D75F01A_13</vt:lpwstr>
  </property>
</Properties>
</file>