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spacing w:line="565" w:lineRule="exact"/>
        <w:ind w:left="0" w:firstLine="0"/>
        <w:jc w:val="center"/>
        <w:rPr>
          <w:rFonts w:hint="eastAsia"/>
          <w:spacing w:val="-33"/>
          <w:sz w:val="44"/>
          <w:szCs w:val="24"/>
        </w:rPr>
      </w:pPr>
    </w:p>
    <w:p>
      <w:pPr>
        <w:pStyle w:val="2"/>
        <w:kinsoku w:val="0"/>
        <w:overflowPunct w:val="0"/>
        <w:autoSpaceDE w:val="0"/>
        <w:autoSpaceDN w:val="0"/>
        <w:spacing w:line="565" w:lineRule="exact"/>
        <w:ind w:left="0" w:firstLine="0"/>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温岭市城市道路两侧公共区域建设管理</w:t>
      </w:r>
    </w:p>
    <w:p>
      <w:pPr>
        <w:pStyle w:val="2"/>
        <w:kinsoku w:val="0"/>
        <w:overflowPunct w:val="0"/>
        <w:autoSpaceDE w:val="0"/>
        <w:autoSpaceDN w:val="0"/>
        <w:spacing w:line="565" w:lineRule="exact"/>
        <w:ind w:left="0" w:firstLine="0"/>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实施办法</w:t>
      </w:r>
      <w:r>
        <w:rPr>
          <w:rFonts w:hint="eastAsia" w:ascii="方正小标宋简体" w:hAnsi="方正小标宋简体" w:eastAsia="方正小标宋简体" w:cs="方正小标宋简体"/>
          <w:spacing w:val="0"/>
          <w:sz w:val="44"/>
          <w:szCs w:val="44"/>
          <w:lang w:val="en-US" w:eastAsia="zh-CN"/>
        </w:rPr>
        <w:t>（修订）</w:t>
      </w:r>
    </w:p>
    <w:p>
      <w:pPr>
        <w:pStyle w:val="2"/>
        <w:kinsoku w:val="0"/>
        <w:overflowPunct w:val="0"/>
        <w:autoSpaceDE w:val="0"/>
        <w:autoSpaceDN w:val="0"/>
        <w:spacing w:line="565" w:lineRule="exact"/>
        <w:ind w:left="0" w:firstLine="0"/>
        <w:jc w:val="center"/>
        <w:rPr>
          <w:rFonts w:hint="eastAsia" w:ascii="仿宋_GB2312" w:hAnsi="仿宋_GB2312" w:eastAsia="仿宋_GB2312" w:cs="仿宋_GB2312"/>
          <w:spacing w:val="-33"/>
          <w:sz w:val="32"/>
          <w:szCs w:val="32"/>
          <w:lang w:val="en-US" w:eastAsia="zh-CN"/>
        </w:rPr>
      </w:pPr>
      <w:r>
        <w:rPr>
          <w:rFonts w:hint="eastAsia" w:ascii="仿宋_GB2312" w:hAnsi="仿宋_GB2312" w:eastAsia="仿宋_GB2312" w:cs="仿宋_GB2312"/>
          <w:spacing w:val="-33"/>
          <w:sz w:val="32"/>
          <w:szCs w:val="32"/>
          <w:lang w:val="en-US" w:eastAsia="zh-CN"/>
        </w:rPr>
        <w:t>（</w:t>
      </w:r>
      <w:r>
        <w:rPr>
          <w:rFonts w:ascii="仿宋" w:eastAsia="仿宋" w:cs="仿宋"/>
          <w:kern w:val="0"/>
          <w:sz w:val="32"/>
          <w:szCs w:val="32"/>
          <w:lang w:val="en-US" w:eastAsia="zh-CN" w:bidi="ar-SA"/>
        </w:rPr>
        <w:t>征求意见</w:t>
      </w:r>
      <w:r>
        <w:rPr>
          <w:rFonts w:hint="eastAsia" w:ascii="仿宋_GB2312" w:hAnsi="仿宋_GB2312" w:eastAsia="仿宋_GB2312" w:cs="仿宋_GB2312"/>
          <w:spacing w:val="-33"/>
          <w:sz w:val="32"/>
          <w:szCs w:val="32"/>
          <w:lang w:val="en-US" w:eastAsia="zh-CN"/>
        </w:rPr>
        <w:t>稿）</w:t>
      </w:r>
    </w:p>
    <w:p>
      <w:pPr>
        <w:kinsoku w:val="0"/>
        <w:overflowPunct w:val="0"/>
        <w:autoSpaceDE w:val="0"/>
        <w:autoSpaceDN w:val="0"/>
        <w:spacing w:before="5"/>
        <w:rPr>
          <w:rFonts w:hint="eastAsia" w:ascii="仿宋_GB2312" w:eastAsia="仿宋_GB2312"/>
          <w:spacing w:val="-5"/>
          <w:sz w:val="32"/>
        </w:rPr>
      </w:pP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111"/>
        <w:jc w:val="both"/>
        <w:textAlignment w:val="auto"/>
        <w:rPr>
          <w:color w:val="000000"/>
          <w:sz w:val="32"/>
          <w:szCs w:val="24"/>
        </w:rPr>
      </w:pPr>
      <w:r>
        <w:rPr>
          <w:rFonts w:hint="eastAsia"/>
          <w:color w:val="000000"/>
          <w:spacing w:val="7"/>
        </w:rPr>
        <w:t>为科学有序开展城市道路两侧公共区域建设、移交 和日常养护管理，改善城市形象，提升城市品质，根据《浙江省城市景观风貌条例》、《浙江省城市市容和环境卫生管理条例》、《浙江省城市道路管理办法》、</w:t>
      </w:r>
      <w:r>
        <w:rPr>
          <w:color w:val="000000"/>
          <w:spacing w:val="-4"/>
          <w:lang w:val="en-US" w:eastAsia="zh-CN"/>
        </w:rPr>
        <w:t>《浙江省国土空间规划条例》</w:t>
      </w:r>
      <w:r>
        <w:rPr>
          <w:rFonts w:hint="eastAsia"/>
          <w:color w:val="000000"/>
          <w:spacing w:val="-5"/>
          <w:sz w:val="32"/>
          <w:szCs w:val="24"/>
        </w:rPr>
        <w:t>等有</w:t>
      </w:r>
      <w:r>
        <w:rPr>
          <w:rFonts w:hint="eastAsia"/>
          <w:color w:val="000000"/>
          <w:spacing w:val="-5"/>
          <w:sz w:val="32"/>
          <w:szCs w:val="24"/>
          <w:lang w:eastAsia="zh-CN"/>
        </w:rPr>
        <w:t>关</w:t>
      </w:r>
      <w:r>
        <w:rPr>
          <w:rFonts w:hint="eastAsia"/>
          <w:color w:val="000000"/>
          <w:sz w:val="32"/>
          <w:szCs w:val="24"/>
        </w:rPr>
        <w:t>规</w:t>
      </w:r>
      <w:r>
        <w:rPr>
          <w:rFonts w:hint="eastAsia"/>
          <w:color w:val="000000"/>
          <w:spacing w:val="-5"/>
          <w:sz w:val="32"/>
          <w:szCs w:val="24"/>
        </w:rPr>
        <w:t>定</w:t>
      </w:r>
      <w:r>
        <w:rPr>
          <w:rFonts w:hint="eastAsia"/>
          <w:color w:val="000000"/>
          <w:spacing w:val="-4"/>
          <w:sz w:val="32"/>
          <w:szCs w:val="24"/>
        </w:rPr>
        <w:t>要</w:t>
      </w:r>
      <w:r>
        <w:rPr>
          <w:rFonts w:hint="eastAsia"/>
          <w:color w:val="000000"/>
          <w:spacing w:val="-5"/>
          <w:sz w:val="32"/>
          <w:szCs w:val="24"/>
        </w:rPr>
        <w:t>求，</w:t>
      </w:r>
      <w:r>
        <w:rPr>
          <w:rFonts w:hint="eastAsia"/>
          <w:color w:val="000000"/>
          <w:spacing w:val="-4"/>
          <w:sz w:val="32"/>
          <w:szCs w:val="24"/>
        </w:rPr>
        <w:t>结</w:t>
      </w:r>
      <w:r>
        <w:rPr>
          <w:rFonts w:hint="eastAsia"/>
          <w:color w:val="000000"/>
          <w:spacing w:val="-5"/>
          <w:sz w:val="32"/>
          <w:szCs w:val="24"/>
        </w:rPr>
        <w:t>合我</w:t>
      </w:r>
      <w:r>
        <w:rPr>
          <w:rFonts w:hint="eastAsia"/>
          <w:color w:val="000000"/>
          <w:spacing w:val="-4"/>
          <w:sz w:val="32"/>
          <w:szCs w:val="24"/>
        </w:rPr>
        <w:t>市</w:t>
      </w:r>
      <w:r>
        <w:rPr>
          <w:rFonts w:hint="eastAsia"/>
          <w:color w:val="000000"/>
          <w:spacing w:val="-5"/>
          <w:sz w:val="32"/>
          <w:szCs w:val="24"/>
        </w:rPr>
        <w:t>实际</w:t>
      </w:r>
      <w:r>
        <w:rPr>
          <w:rFonts w:hint="eastAsia"/>
          <w:color w:val="000000"/>
          <w:spacing w:val="-4"/>
          <w:sz w:val="32"/>
          <w:szCs w:val="24"/>
        </w:rPr>
        <w:t>，</w:t>
      </w:r>
      <w:r>
        <w:rPr>
          <w:rFonts w:hint="eastAsia"/>
          <w:color w:val="000000"/>
          <w:spacing w:val="-5"/>
          <w:sz w:val="32"/>
          <w:szCs w:val="24"/>
        </w:rPr>
        <w:t>制定</w:t>
      </w:r>
      <w:r>
        <w:rPr>
          <w:rFonts w:hint="eastAsia"/>
          <w:color w:val="000000"/>
          <w:spacing w:val="-4"/>
          <w:sz w:val="32"/>
          <w:szCs w:val="24"/>
        </w:rPr>
        <w:t>本</w:t>
      </w:r>
      <w:r>
        <w:rPr>
          <w:rFonts w:hint="eastAsia"/>
          <w:color w:val="000000"/>
          <w:spacing w:val="-5"/>
          <w:sz w:val="32"/>
          <w:szCs w:val="24"/>
        </w:rPr>
        <w:t>办法</w:t>
      </w:r>
      <w:r>
        <w:rPr>
          <w:rFonts w:hint="eastAsia"/>
          <w:color w:val="000000"/>
          <w:sz w:val="32"/>
          <w:szCs w:val="24"/>
        </w:rPr>
        <w:t>。</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111"/>
        <w:jc w:val="both"/>
        <w:textAlignment w:val="auto"/>
        <w:rPr>
          <w:rFonts w:hint="eastAsia"/>
          <w:b/>
          <w:bCs/>
          <w:color w:val="000000"/>
          <w:spacing w:val="-4"/>
        </w:rPr>
      </w:pPr>
      <w:r>
        <w:rPr>
          <w:b/>
          <w:bCs/>
          <w:color w:val="000000"/>
          <w:spacing w:val="-4"/>
        </w:rPr>
        <w:t>一、基本规定</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70"/>
        <w:jc w:val="both"/>
        <w:textAlignment w:val="auto"/>
        <w:rPr>
          <w:rFonts w:hint="eastAsia"/>
          <w:color w:val="000000"/>
          <w:spacing w:val="-4"/>
        </w:rPr>
      </w:pPr>
      <w:r>
        <w:rPr>
          <w:rFonts w:hint="eastAsia" w:hAnsi="黑体"/>
          <w:color w:val="000000"/>
          <w:spacing w:val="-4"/>
        </w:rPr>
        <w:t>（一）</w:t>
      </w:r>
      <w:r>
        <w:rPr>
          <w:rFonts w:hint="eastAsia"/>
          <w:color w:val="000000"/>
          <w:spacing w:val="-4"/>
        </w:rPr>
        <w:t>本办法适用于本市城镇规划区范围内城市道路两侧公共区域。</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color w:val="000000"/>
          <w:spacing w:val="-4"/>
        </w:rPr>
      </w:pPr>
      <w:r>
        <w:rPr>
          <w:rFonts w:hint="eastAsia" w:hAnsi="黑体"/>
          <w:color w:val="000000"/>
          <w:spacing w:val="-4"/>
        </w:rPr>
        <w:t>（二）</w:t>
      </w:r>
      <w:r>
        <w:rPr>
          <w:rFonts w:hint="eastAsia"/>
          <w:color w:val="000000"/>
          <w:spacing w:val="-4"/>
        </w:rPr>
        <w:t>本办法所称的城市道路两侧公共区域，是指城市道路两侧建筑（围墙）后退道路红线之间以及道路两侧未开发利用的场地空间，是向社会公众开放、供公共使用和活动的场所，包括绿化、场地等配套设施。</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271"/>
        <w:jc w:val="both"/>
        <w:textAlignment w:val="auto"/>
        <w:rPr>
          <w:rFonts w:hAnsi="黑体"/>
          <w:b/>
          <w:bCs/>
          <w:color w:val="000000"/>
          <w:spacing w:val="-4"/>
        </w:rPr>
      </w:pPr>
      <w:r>
        <w:rPr>
          <w:rFonts w:hAnsi="黑体"/>
          <w:b/>
          <w:bCs/>
          <w:color w:val="000000"/>
          <w:spacing w:val="-4"/>
        </w:rPr>
        <w:t>二、工作职责</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271"/>
        <w:jc w:val="both"/>
        <w:textAlignment w:val="auto"/>
        <w:rPr>
          <w:rFonts w:hint="eastAsia"/>
          <w:color w:val="000000"/>
          <w:spacing w:val="-4"/>
        </w:rPr>
      </w:pPr>
      <w:r>
        <w:rPr>
          <w:color w:val="000000"/>
          <w:spacing w:val="-4"/>
        </w:rPr>
        <w:t>（三）</w:t>
      </w:r>
      <w:r>
        <w:rPr>
          <w:rFonts w:hint="eastAsia"/>
          <w:color w:val="000000"/>
          <w:spacing w:val="-4"/>
        </w:rPr>
        <w:t>住房和城乡建设部门（以下简称住建部门）负责城市道路两侧公共区域建设管理的指导和备案工作，协调公共区域范围内涉及的各类设施管线建设管理有关工作。负责太平、城东、城西三个街道范围内的城市道路两侧公共区域接收工作，负责牵头市政、园林日常养护管理工作。</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271"/>
        <w:jc w:val="both"/>
        <w:textAlignment w:val="auto"/>
        <w:rPr>
          <w:rFonts w:hint="eastAsia"/>
          <w:color w:val="000000"/>
          <w:spacing w:val="-4"/>
        </w:rPr>
      </w:pPr>
      <w:r>
        <w:rPr>
          <w:rFonts w:hint="eastAsia"/>
          <w:color w:val="000000"/>
          <w:spacing w:val="-4"/>
        </w:rPr>
        <w:t>自然资源和规划部门负责做好城市道路两侧公共区域的景观风貌监督管理工作；负责将城市道路两侧公共区域城市景观风貌控制和引导要求、规划管理要求纳入</w:t>
      </w:r>
      <w:r>
        <w:rPr>
          <w:color w:val="000000"/>
          <w:spacing w:val="-4"/>
        </w:rPr>
        <w:t>建设要求</w:t>
      </w:r>
      <w:r>
        <w:rPr>
          <w:rFonts w:hint="eastAsia"/>
          <w:color w:val="000000"/>
          <w:spacing w:val="-4"/>
        </w:rPr>
        <w:t>或规划许可；组织相关部门进行建设工程设计方案审查和竣工规划核实时，审核列入</w:t>
      </w:r>
      <w:r>
        <w:rPr>
          <w:color w:val="000000"/>
          <w:spacing w:val="-4"/>
        </w:rPr>
        <w:t>建设要求</w:t>
      </w:r>
      <w:r>
        <w:rPr>
          <w:rFonts w:hint="eastAsia"/>
          <w:color w:val="000000"/>
          <w:spacing w:val="-4"/>
        </w:rPr>
        <w:t>或规划许可的城市景观风貌控制和引导要求、规划管理要求的落实情况。</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271"/>
        <w:jc w:val="both"/>
        <w:textAlignment w:val="auto"/>
        <w:rPr>
          <w:rFonts w:hint="eastAsia"/>
          <w:color w:val="000000"/>
          <w:spacing w:val="-4"/>
        </w:rPr>
      </w:pPr>
      <w:r>
        <w:rPr>
          <w:rFonts w:hint="eastAsia"/>
          <w:color w:val="000000"/>
          <w:spacing w:val="-4"/>
        </w:rPr>
        <w:t>综合行政执法部门负责查处城市道路两侧公共区域内的违法行为。负责牵头太平、城东、城西街道范围内接收的城市道路两侧公共区域内的环卫保洁工作。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71"/>
        <w:jc w:val="both"/>
        <w:textAlignment w:val="auto"/>
        <w:rPr>
          <w:rFonts w:hint="eastAsia"/>
          <w:color w:val="000000"/>
          <w:spacing w:val="-4"/>
        </w:rPr>
      </w:pPr>
      <w:r>
        <w:rPr>
          <w:rFonts w:hint="eastAsia"/>
          <w:color w:val="000000"/>
          <w:spacing w:val="-4"/>
        </w:rPr>
        <w:t>财政部门负责将城市道路两侧公共区域管理必需经费列入财政预算。</w:t>
      </w:r>
    </w:p>
    <w:p>
      <w:pPr>
        <w:pStyle w:val="8"/>
        <w:keepNext w:val="0"/>
        <w:keepLines w:val="0"/>
        <w:pageBreakBefore w:val="0"/>
        <w:widowControl w:val="0"/>
        <w:kinsoku w:val="0"/>
        <w:wordWrap/>
        <w:overflowPunct w:val="0"/>
        <w:topLinePunct w:val="0"/>
        <w:autoSpaceDE w:val="0"/>
        <w:autoSpaceDN w:val="0"/>
        <w:bidi w:val="0"/>
        <w:adjustRightInd w:val="0"/>
        <w:snapToGrid/>
        <w:spacing w:before="0" w:line="600" w:lineRule="exact"/>
        <w:ind w:right="271"/>
        <w:jc w:val="both"/>
        <w:textAlignment w:val="auto"/>
        <w:rPr>
          <w:rFonts w:hint="eastAsia"/>
          <w:color w:val="000000"/>
          <w:spacing w:val="-4"/>
        </w:rPr>
      </w:pPr>
      <w:r>
        <w:rPr>
          <w:rFonts w:hint="eastAsia"/>
          <w:color w:val="000000"/>
          <w:spacing w:val="-4"/>
        </w:rPr>
        <w:t>城发集团负责太平、城东、城西街道范围内接收的城市道路两侧公共区域内的停车泊位</w:t>
      </w:r>
      <w:bookmarkStart w:id="0" w:name="_GoBack"/>
      <w:bookmarkEnd w:id="0"/>
      <w:r>
        <w:rPr>
          <w:rFonts w:hint="eastAsia"/>
          <w:color w:val="000000"/>
          <w:spacing w:val="-4"/>
        </w:rPr>
        <w:t>管理工作。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9"/>
        <w:jc w:val="both"/>
        <w:textAlignment w:val="auto"/>
        <w:rPr>
          <w:rFonts w:hint="eastAsia"/>
          <w:color w:val="000000"/>
          <w:spacing w:val="-4"/>
        </w:rPr>
      </w:pPr>
      <w:r>
        <w:rPr>
          <w:rFonts w:hint="eastAsia"/>
          <w:color w:val="000000"/>
          <w:spacing w:val="-4"/>
        </w:rPr>
        <w:t>发改、公安、市场监管、环境综合整治事务中心等部门按照各自职责，做好城市道路两侧公共区域建设管理工作。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9"/>
        <w:jc w:val="both"/>
        <w:textAlignment w:val="auto"/>
        <w:rPr>
          <w:rFonts w:hint="eastAsia"/>
          <w:color w:val="000000"/>
          <w:spacing w:val="-4"/>
        </w:rPr>
      </w:pPr>
      <w:r>
        <w:rPr>
          <w:rFonts w:hint="eastAsia"/>
          <w:color w:val="000000"/>
          <w:spacing w:val="-4"/>
        </w:rPr>
        <w:t>各街道（镇、经济开发区）负责属地城市道路两侧公共区域停车设施建设方案审查，负责对擅自建设停车设施实行封闭管理的整治。横峰街道、城北街道、各镇、经济开发区等负责属地城市道路两侧公共区域的规划设计、控制引导，公共区域的接收和日常养护管理工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Ansi="黑体"/>
          <w:b/>
          <w:bCs/>
          <w:color w:val="000000"/>
          <w:spacing w:val="-4"/>
        </w:rPr>
      </w:pPr>
      <w:r>
        <w:rPr>
          <w:rFonts w:hAnsi="黑体"/>
          <w:b/>
          <w:bCs/>
          <w:color w:val="000000"/>
          <w:spacing w:val="-4"/>
        </w:rPr>
        <w:t>三、移交管理</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color w:val="000000"/>
          <w:spacing w:val="-4"/>
        </w:rPr>
      </w:pPr>
      <w:r>
        <w:rPr>
          <w:rFonts w:hAnsi="黑体"/>
          <w:color w:val="000000"/>
          <w:spacing w:val="-4"/>
        </w:rPr>
        <w:t>（四）</w:t>
      </w:r>
      <w:r>
        <w:rPr>
          <w:rFonts w:hint="eastAsia"/>
          <w:color w:val="000000"/>
          <w:spacing w:val="-4"/>
        </w:rPr>
        <w:t>城市道路两侧公共区域在产权不变的前提下，属地街道（镇、经济开发区）要引导业主单位将城市道路两侧公共区域范围内的各类城市公共基础设施使用权和场地管养职责移交给政府。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color w:val="000000"/>
          <w:spacing w:val="-4"/>
        </w:rPr>
      </w:pPr>
      <w:r>
        <w:rPr>
          <w:color w:val="000000"/>
          <w:spacing w:val="-4"/>
        </w:rPr>
        <w:t>（五）</w:t>
      </w:r>
      <w:r>
        <w:rPr>
          <w:rFonts w:hint="eastAsia"/>
          <w:color w:val="000000"/>
          <w:spacing w:val="-4"/>
        </w:rPr>
        <w:t>城市道路两侧公共区域范围内的各类城市公共基础设施使用权和场地管养职责的移交，属地街道（镇、经济开发区）组织业主委员会或业主单位按规定移交。</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b/>
          <w:bCs/>
          <w:color w:val="000000"/>
          <w:spacing w:val="-4"/>
        </w:rPr>
      </w:pPr>
      <w:r>
        <w:rPr>
          <w:b/>
          <w:bCs/>
          <w:color w:val="000000"/>
          <w:spacing w:val="-4"/>
        </w:rPr>
        <w:t>四、维护管理</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hAnsi="黑体"/>
          <w:color w:val="000000"/>
          <w:spacing w:val="-4"/>
        </w:rPr>
      </w:pPr>
      <w:r>
        <w:rPr>
          <w:rFonts w:hAnsi="黑体"/>
          <w:color w:val="000000"/>
          <w:spacing w:val="-4"/>
        </w:rPr>
        <w:t>（六）</w:t>
      </w:r>
      <w:r>
        <w:rPr>
          <w:rFonts w:hint="eastAsia"/>
          <w:color w:val="000000"/>
          <w:spacing w:val="-4"/>
        </w:rPr>
        <w:t>住建、综合行政执法、城发集团、属地街道（镇、经济开发区）等单位接收的城市道路两侧公共区域城市市容环卫、公共停车、市政绿化、设施维护等建设管理养护工作。</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color w:val="000000"/>
          <w:spacing w:val="-4"/>
        </w:rPr>
      </w:pPr>
      <w:r>
        <w:rPr>
          <w:color w:val="000000"/>
          <w:spacing w:val="-4"/>
        </w:rPr>
        <w:t>（七）</w:t>
      </w:r>
      <w:r>
        <w:rPr>
          <w:rFonts w:hint="eastAsia"/>
          <w:color w:val="000000"/>
          <w:spacing w:val="-4"/>
        </w:rPr>
        <w:t>城市道路两侧公共区域范围内的市政、绿化等设施，尚处于施工单位保修期内的，移交单位应当继续承担保修期内的质量保修责任。</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Ansi="宋体"/>
          <w:color w:val="000000"/>
          <w:spacing w:val="-4"/>
        </w:rPr>
      </w:pPr>
      <w:r>
        <w:rPr>
          <w:color w:val="000000"/>
          <w:spacing w:val="-4"/>
        </w:rPr>
        <w:t>（八）</w:t>
      </w:r>
      <w:r>
        <w:rPr>
          <w:rFonts w:hint="eastAsia"/>
          <w:color w:val="000000"/>
          <w:spacing w:val="-4"/>
        </w:rPr>
        <w:t>对于未移交的城市道路两侧公共区域，属地街道（镇、经济开发区）要</w:t>
      </w:r>
      <w:r>
        <w:rPr>
          <w:rFonts w:hint="eastAsia" w:hAnsi="宋体"/>
          <w:color w:val="000000"/>
          <w:spacing w:val="-4"/>
        </w:rPr>
        <w:t>督促业主落实日常管理</w:t>
      </w:r>
      <w:r>
        <w:rPr>
          <w:rFonts w:hAnsi="宋体"/>
          <w:color w:val="000000"/>
          <w:spacing w:val="-4"/>
        </w:rPr>
        <w:t>维护</w:t>
      </w:r>
      <w:r>
        <w:rPr>
          <w:rFonts w:hint="eastAsia" w:hAnsi="宋体"/>
          <w:color w:val="000000"/>
          <w:spacing w:val="-4"/>
        </w:rPr>
        <w:t>，并纳入物业管理服务范围。</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hAnsi="宋体"/>
          <w:b/>
          <w:bCs/>
          <w:color w:val="000000"/>
          <w:spacing w:val="-4"/>
        </w:rPr>
      </w:pPr>
      <w:r>
        <w:rPr>
          <w:rFonts w:hAnsi="宋体"/>
          <w:b/>
          <w:bCs/>
          <w:color w:val="000000"/>
          <w:spacing w:val="-4"/>
        </w:rPr>
        <w:t>五、规划建设管理</w:t>
      </w:r>
    </w:p>
    <w:p>
      <w:pPr>
        <w:pStyle w:val="8"/>
        <w:keepNext w:val="0"/>
        <w:keepLines w:val="0"/>
        <w:pageBreakBefore w:val="0"/>
        <w:widowControl w:val="0"/>
        <w:kinsoku w:val="0"/>
        <w:wordWrap/>
        <w:overflowPunct w:val="0"/>
        <w:topLinePunct w:val="0"/>
        <w:autoSpaceDE w:val="0"/>
        <w:autoSpaceDN w:val="0"/>
        <w:adjustRightInd w:val="0"/>
        <w:snapToGrid/>
        <w:spacing w:line="600" w:lineRule="exact"/>
        <w:ind w:right="258"/>
        <w:jc w:val="both"/>
        <w:rPr>
          <w:color w:val="000000"/>
          <w:spacing w:val="-4"/>
        </w:rPr>
      </w:pPr>
      <w:r>
        <w:rPr>
          <w:rFonts w:hAnsi="黑体"/>
          <w:color w:val="000000"/>
          <w:spacing w:val="-4"/>
        </w:rPr>
        <w:t>（九）</w:t>
      </w:r>
      <w:r>
        <w:rPr>
          <w:rFonts w:hint="eastAsia"/>
          <w:color w:val="000000"/>
          <w:spacing w:val="-4"/>
        </w:rPr>
        <w:t>城市道路两侧公共区域设置钢管护栏、升降栏杆、门禁道闸等设施实行封闭管理的，须</w:t>
      </w:r>
      <w:r>
        <w:rPr>
          <w:color w:val="000000"/>
          <w:spacing w:val="-4"/>
        </w:rPr>
        <w:t>编制</w:t>
      </w:r>
      <w:r>
        <w:rPr>
          <w:rFonts w:hint="eastAsia" w:hAnsi="宋体"/>
          <w:color w:val="000000"/>
          <w:spacing w:val="-4"/>
        </w:rPr>
        <w:t>停车设施建设方案报属地</w:t>
      </w:r>
      <w:r>
        <w:rPr>
          <w:rFonts w:hint="eastAsia"/>
          <w:color w:val="000000"/>
          <w:spacing w:val="-4"/>
        </w:rPr>
        <w:t>街道（镇、经济开发区）审查。</w:t>
      </w:r>
    </w:p>
    <w:p>
      <w:pPr>
        <w:pStyle w:val="8"/>
        <w:keepNext w:val="0"/>
        <w:keepLines w:val="0"/>
        <w:pageBreakBefore w:val="0"/>
        <w:widowControl w:val="0"/>
        <w:kinsoku w:val="0"/>
        <w:wordWrap/>
        <w:overflowPunct w:val="0"/>
        <w:topLinePunct w:val="0"/>
        <w:autoSpaceDE w:val="0"/>
        <w:autoSpaceDN w:val="0"/>
        <w:adjustRightInd w:val="0"/>
        <w:snapToGrid/>
        <w:spacing w:line="600" w:lineRule="exact"/>
        <w:ind w:right="258"/>
        <w:jc w:val="both"/>
        <w:rPr>
          <w:color w:val="000000"/>
          <w:spacing w:val="-4"/>
        </w:rPr>
      </w:pPr>
      <w:r>
        <w:rPr>
          <w:color w:val="000000"/>
          <w:spacing w:val="-4"/>
        </w:rPr>
        <w:t>（十）</w:t>
      </w:r>
      <w:r>
        <w:rPr>
          <w:rFonts w:hint="eastAsia" w:hAnsi="宋体"/>
          <w:color w:val="000000"/>
          <w:spacing w:val="-4"/>
        </w:rPr>
        <w:t>属地</w:t>
      </w:r>
      <w:r>
        <w:rPr>
          <w:rFonts w:hint="eastAsia"/>
          <w:color w:val="000000"/>
          <w:spacing w:val="-4"/>
        </w:rPr>
        <w:t>街道（镇、经济开发区）牵头会同自规、住建、综合行政执法、交警等部门进行联审，经联审同意后，报住建部门备案</w:t>
      </w:r>
      <w:r>
        <w:rPr>
          <w:rFonts w:hint="eastAsia" w:hAnsi="宋体"/>
          <w:color w:val="000000"/>
          <w:spacing w:val="-4"/>
        </w:rPr>
        <w:t>。</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color w:val="000000"/>
          <w:spacing w:val="-4"/>
        </w:rPr>
      </w:pPr>
      <w:r>
        <w:rPr>
          <w:color w:val="000000"/>
          <w:spacing w:val="-4"/>
        </w:rPr>
        <w:t>（十一）已</w:t>
      </w:r>
      <w:r>
        <w:rPr>
          <w:rFonts w:hint="eastAsia"/>
          <w:color w:val="000000"/>
          <w:spacing w:val="-4"/>
        </w:rPr>
        <w:t>移交给政府</w:t>
      </w:r>
      <w:r>
        <w:rPr>
          <w:color w:val="000000"/>
          <w:spacing w:val="-4"/>
        </w:rPr>
        <w:t>管养的</w:t>
      </w:r>
      <w:r>
        <w:rPr>
          <w:rFonts w:hint="eastAsia"/>
          <w:color w:val="000000"/>
          <w:spacing w:val="-4"/>
        </w:rPr>
        <w:t>城市道路两侧公共区域</w:t>
      </w:r>
      <w:r>
        <w:rPr>
          <w:rFonts w:hint="eastAsia" w:hAnsi="宋体"/>
          <w:color w:val="000000"/>
          <w:spacing w:val="-4"/>
        </w:rPr>
        <w:t>停车设施建设方案</w:t>
      </w:r>
      <w:r>
        <w:rPr>
          <w:rFonts w:hAnsi="宋体"/>
          <w:color w:val="000000"/>
          <w:spacing w:val="-4"/>
        </w:rPr>
        <w:t>由接管单位负责编制；</w:t>
      </w:r>
      <w:r>
        <w:rPr>
          <w:rFonts w:hint="eastAsia"/>
          <w:color w:val="000000"/>
          <w:spacing w:val="-4"/>
        </w:rPr>
        <w:t>未移交的城市道路两侧公共区域</w:t>
      </w:r>
      <w:r>
        <w:rPr>
          <w:rFonts w:hint="eastAsia" w:hAnsi="宋体"/>
          <w:color w:val="000000"/>
          <w:spacing w:val="-4"/>
        </w:rPr>
        <w:t>停车设施建设方案</w:t>
      </w:r>
      <w:r>
        <w:rPr>
          <w:rFonts w:hAnsi="宋体"/>
          <w:color w:val="000000"/>
          <w:spacing w:val="-4"/>
        </w:rPr>
        <w:t>由业主单位负责编制，并经</w:t>
      </w:r>
      <w:r>
        <w:rPr>
          <w:color w:val="000000"/>
          <w:spacing w:val="-4"/>
        </w:rPr>
        <w:t>业主共同决定。</w:t>
      </w:r>
    </w:p>
    <w:p>
      <w:pPr>
        <w:pStyle w:val="8"/>
        <w:keepNext w:val="0"/>
        <w:keepLines w:val="0"/>
        <w:pageBreakBefore w:val="0"/>
        <w:widowControl w:val="0"/>
        <w:kinsoku w:val="0"/>
        <w:wordWrap/>
        <w:overflowPunct w:val="0"/>
        <w:topLinePunct w:val="0"/>
        <w:autoSpaceDE w:val="0"/>
        <w:autoSpaceDN w:val="0"/>
        <w:adjustRightInd w:val="0"/>
        <w:snapToGrid/>
        <w:spacing w:line="600" w:lineRule="exact"/>
        <w:ind w:right="258"/>
        <w:jc w:val="both"/>
        <w:rPr>
          <w:color w:val="000000"/>
          <w:spacing w:val="-4"/>
        </w:rPr>
      </w:pPr>
      <w:r>
        <w:rPr>
          <w:color w:val="000000"/>
          <w:spacing w:val="-4"/>
        </w:rPr>
        <w:t>（十二）为了进一步提升</w:t>
      </w:r>
      <w:r>
        <w:rPr>
          <w:rFonts w:hint="eastAsia"/>
          <w:color w:val="000000"/>
          <w:spacing w:val="-4"/>
        </w:rPr>
        <w:t>城市道路两侧公共区域</w:t>
      </w:r>
      <w:r>
        <w:rPr>
          <w:color w:val="000000"/>
          <w:spacing w:val="-4"/>
        </w:rPr>
        <w:t>停车位利用率，缓解停车难问题，在编制</w:t>
      </w:r>
      <w:r>
        <w:rPr>
          <w:rFonts w:hint="eastAsia" w:hAnsi="宋体"/>
          <w:color w:val="000000"/>
          <w:spacing w:val="-4"/>
        </w:rPr>
        <w:t>停车设施建设方案</w:t>
      </w:r>
      <w:r>
        <w:rPr>
          <w:rFonts w:hAnsi="宋体"/>
          <w:color w:val="000000"/>
          <w:spacing w:val="-4"/>
        </w:rPr>
        <w:t>时，</w:t>
      </w:r>
      <w:r>
        <w:rPr>
          <w:color w:val="000000"/>
          <w:spacing w:val="-4"/>
        </w:rPr>
        <w:t>可根据实际使用需求，对</w:t>
      </w:r>
      <w:r>
        <w:rPr>
          <w:rFonts w:hint="eastAsia"/>
          <w:color w:val="000000"/>
          <w:spacing w:val="-4"/>
        </w:rPr>
        <w:t>城市道路两侧公共区域</w:t>
      </w:r>
      <w:r>
        <w:rPr>
          <w:color w:val="000000"/>
          <w:spacing w:val="-4"/>
        </w:rPr>
        <w:t>原有的功能布局进行优化调整。</w:t>
      </w:r>
    </w:p>
    <w:p>
      <w:pPr>
        <w:pStyle w:val="8"/>
        <w:keepNext w:val="0"/>
        <w:keepLines w:val="0"/>
        <w:pageBreakBefore w:val="0"/>
        <w:widowControl w:val="0"/>
        <w:kinsoku w:val="0"/>
        <w:wordWrap/>
        <w:overflowPunct w:val="0"/>
        <w:topLinePunct w:val="0"/>
        <w:autoSpaceDE w:val="0"/>
        <w:autoSpaceDN w:val="0"/>
        <w:adjustRightInd w:val="0"/>
        <w:snapToGrid/>
        <w:spacing w:line="600" w:lineRule="exact"/>
        <w:ind w:right="258"/>
        <w:jc w:val="both"/>
        <w:rPr>
          <w:rFonts w:hint="eastAsia"/>
          <w:b/>
          <w:bCs/>
          <w:color w:val="000000"/>
          <w:spacing w:val="-4"/>
        </w:rPr>
      </w:pPr>
      <w:r>
        <w:rPr>
          <w:b/>
          <w:bCs/>
          <w:color w:val="000000"/>
          <w:spacing w:val="-4"/>
        </w:rPr>
        <w:t>六、</w:t>
      </w:r>
      <w:r>
        <w:rPr>
          <w:rFonts w:hint="eastAsia"/>
          <w:b/>
          <w:bCs/>
          <w:color w:val="000000"/>
          <w:spacing w:val="-4"/>
        </w:rPr>
        <w:t>监督管理</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rFonts w:hint="eastAsia"/>
          <w:color w:val="000000"/>
          <w:spacing w:val="-4"/>
        </w:rPr>
      </w:pPr>
      <w:r>
        <w:rPr>
          <w:rFonts w:hAnsi="黑体"/>
          <w:color w:val="000000"/>
          <w:spacing w:val="-4"/>
        </w:rPr>
        <w:t>（十三）</w:t>
      </w:r>
      <w:r>
        <w:rPr>
          <w:rFonts w:hint="eastAsia"/>
          <w:color w:val="000000"/>
          <w:spacing w:val="-4"/>
        </w:rPr>
        <w:t>城市道路两侧公共区域内严禁擅自设置收费停车场地。严禁擅自改变规划用途设置停车泊位；严禁擅自利用钢管护栏、 升降栏杆、门禁道闸等障碍物设置、占用、挪用停车区域；严禁无照经营、未明码标价、未按公示价格收费等违法行为。</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color w:val="000000"/>
          <w:spacing w:val="-4"/>
        </w:rPr>
      </w:pPr>
      <w:r>
        <w:rPr>
          <w:color w:val="000000"/>
          <w:spacing w:val="-4"/>
        </w:rPr>
        <w:t>（十四）</w:t>
      </w:r>
      <w:r>
        <w:rPr>
          <w:rFonts w:hint="eastAsia"/>
          <w:color w:val="000000"/>
          <w:spacing w:val="-4"/>
        </w:rPr>
        <w:t>城市道路两侧公共区域内如出现上述情形及其他违法行为的，由</w:t>
      </w:r>
      <w:r>
        <w:rPr>
          <w:rFonts w:hint="eastAsia" w:hAnsi="宋体"/>
          <w:color w:val="000000"/>
          <w:spacing w:val="-4"/>
        </w:rPr>
        <w:t>属地</w:t>
      </w:r>
      <w:r>
        <w:rPr>
          <w:rFonts w:hint="eastAsia"/>
          <w:color w:val="000000"/>
          <w:spacing w:val="-4"/>
        </w:rPr>
        <w:t>街道（镇、经济开发区）负责整治，市综合行政执法、自然资源和规划、市场监管等职能部门依法予以查处。</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b/>
          <w:bCs/>
          <w:color w:val="000000"/>
          <w:spacing w:val="-4"/>
        </w:rPr>
      </w:pPr>
      <w:r>
        <w:rPr>
          <w:b/>
          <w:bCs/>
          <w:color w:val="000000"/>
          <w:spacing w:val="-4"/>
        </w:rPr>
        <w:t>七、其他规定</w:t>
      </w:r>
    </w:p>
    <w:p>
      <w:pPr>
        <w:pStyle w:val="8"/>
        <w:keepNext w:val="0"/>
        <w:keepLines w:val="0"/>
        <w:pageBreakBefore w:val="0"/>
        <w:widowControl w:val="0"/>
        <w:kinsoku w:val="0"/>
        <w:wordWrap/>
        <w:overflowPunct w:val="0"/>
        <w:topLinePunct w:val="0"/>
        <w:autoSpaceDE w:val="0"/>
        <w:autoSpaceDN w:val="0"/>
        <w:bidi w:val="0"/>
        <w:adjustRightInd w:val="0"/>
        <w:snapToGrid/>
        <w:spacing w:line="600" w:lineRule="exact"/>
        <w:ind w:right="258"/>
        <w:jc w:val="both"/>
        <w:textAlignment w:val="auto"/>
        <w:rPr>
          <w:color w:val="000000"/>
          <w:spacing w:val="-4"/>
        </w:rPr>
      </w:pPr>
      <w:r>
        <w:rPr>
          <w:rFonts w:hAnsi="黑体"/>
          <w:color w:val="000000"/>
          <w:spacing w:val="-4"/>
        </w:rPr>
        <w:t>（十五）</w:t>
      </w:r>
      <w:r>
        <w:rPr>
          <w:rFonts w:hint="eastAsia"/>
          <w:color w:val="000000"/>
          <w:spacing w:val="-4"/>
        </w:rPr>
        <w:t>本办法自</w:t>
      </w:r>
      <w:r>
        <w:rPr>
          <w:color w:val="000000"/>
          <w:spacing w:val="-4"/>
        </w:rPr>
        <w:t>2025年</w:t>
      </w:r>
      <w:r>
        <w:rPr>
          <w:rFonts w:hAnsi="Times New Roman"/>
          <w:color w:val="000000"/>
          <w:spacing w:val="-4"/>
        </w:rPr>
        <w:t>*</w:t>
      </w:r>
      <w:r>
        <w:rPr>
          <w:rFonts w:hint="eastAsia"/>
          <w:color w:val="000000"/>
          <w:spacing w:val="-4"/>
        </w:rPr>
        <w:t>月</w:t>
      </w:r>
      <w:r>
        <w:rPr>
          <w:color w:val="000000"/>
          <w:spacing w:val="-4"/>
        </w:rPr>
        <w:t>*</w:t>
      </w:r>
      <w:r>
        <w:rPr>
          <w:rFonts w:hint="eastAsia"/>
          <w:color w:val="000000"/>
          <w:spacing w:val="-4"/>
        </w:rPr>
        <w:t>日起施行。</w:t>
      </w:r>
      <w:r>
        <w:rPr>
          <w:color w:val="000000"/>
          <w:spacing w:val="-4"/>
        </w:rPr>
        <w:t>原《温岭市城市道路两侧公共区域建设管理实施办法》（温政发〔2020〕30 号）同时废止。</w:t>
      </w:r>
    </w:p>
    <w:sectPr>
      <w:footerReference r:id="rId3"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Lucida Sans">
    <w:altName w:val="DejaVu Sans"/>
    <w:panose1 w:val="020B0602030504020204"/>
    <w:charset w:val="00"/>
    <w:family w:val="auto"/>
    <w:pitch w:val="default"/>
    <w:sig w:usb0="00000000" w:usb1="00000000" w:usb2="00000000" w:usb3="00000000" w:csb0="20000001" w:csb1="00000000"/>
  </w:font>
  <w:font w:name="Microsoft JhengHei">
    <w:altName w:val="汉仪书宋二KW"/>
    <w:panose1 w:val="020B0604030504040204"/>
    <w:charset w:val="88"/>
    <w:family w:val="swiss"/>
    <w:pitch w:val="default"/>
    <w:sig w:usb0="00000000" w:usb1="00000000" w:usb2="00000016" w:usb3="00000000" w:csb0="00100009" w:csb1="00000000"/>
  </w:font>
  <w:font w:name="方正兰亭黑_GBK">
    <w:altName w:val="汉仪中黑KW"/>
    <w:panose1 w:val="02000000000000000000"/>
    <w:charset w:val="86"/>
    <w:family w:val="script"/>
    <w:pitch w:val="default"/>
    <w:sig w:usb0="00000000" w:usb1="00000000" w:usb2="0008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汉仪仿宋KW"/>
    <w:panose1 w:val="02000000000000000000"/>
    <w:charset w:val="86"/>
    <w:family w:val="script"/>
    <w:pitch w:val="default"/>
    <w:sig w:usb0="00000000" w:usb1="00000000" w:usb2="00082016" w:usb3="00000000" w:csb0="00040001"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autoSpaceDE w:val="0"/>
      <w:autoSpaceDN w:val="0"/>
      <w:spacing w:line="200" w:lineRule="exact"/>
      <w:rPr>
        <w:sz w:val="20"/>
        <w:szCs w:val="24"/>
      </w:rPr>
    </w:pPr>
    <w:r>
      <w:rPr>
        <w:sz w:val="24"/>
        <w:szCs w:val="24"/>
      </w:rPr>
      <mc:AlternateContent>
        <mc:Choice Requires="wps">
          <w:drawing>
            <wp:anchor distT="0" distB="0" distL="113665" distR="113665" simplePos="0" relativeHeight="1024" behindDoc="1" locked="0" layoutInCell="1" allowOverlap="1">
              <wp:simplePos x="0" y="0"/>
              <wp:positionH relativeFrom="page">
                <wp:posOffset>5894070</wp:posOffset>
              </wp:positionH>
              <wp:positionV relativeFrom="page">
                <wp:posOffset>9674225</wp:posOffset>
              </wp:positionV>
              <wp:extent cx="647700" cy="212725"/>
              <wp:effectExtent l="0" t="0" r="0" b="0"/>
              <wp:wrapNone/>
              <wp:docPr id="1" name="文本框 1"/>
              <wp:cNvGraphicFramePr/>
              <a:graphic xmlns:a="http://schemas.openxmlformats.org/drawingml/2006/main">
                <a:graphicData uri="http://schemas.microsoft.com/office/word/2010/wordprocessingShape">
                  <wps:wsp>
                    <wps:cNvSpPr/>
                    <wps:spPr>
                      <a:xfrm>
                        <a:off x="0" y="0"/>
                        <a:ext cx="647700" cy="212724"/>
                      </a:xfrm>
                      <a:prstGeom prst="rect">
                        <a:avLst/>
                      </a:prstGeom>
                      <a:noFill/>
                      <a:ln w="9525" cap="flat" cmpd="sng">
                        <a:noFill/>
                        <a:prstDash val="solid"/>
                        <a:round/>
                      </a:ln>
                    </wps:spPr>
                    <wps:txbx>
                      <w:txbxContent>
                        <w:p>
                          <w:pPr>
                            <w:kinsoku w:val="0"/>
                            <w:overflowPunct w:val="0"/>
                            <w:autoSpaceDE w:val="0"/>
                            <w:autoSpaceDN w:val="0"/>
                            <w:spacing w:line="321" w:lineRule="exact"/>
                            <w:ind w:left="20"/>
                            <w:rPr>
                              <w:rFonts w:hint="eastAsia" w:ascii="仿宋_GB2312" w:hAnsi="仿宋_GB2312" w:eastAsia="仿宋_GB2312"/>
                              <w:sz w:val="28"/>
                              <w:szCs w:val="24"/>
                            </w:rPr>
                          </w:pPr>
                          <w:r>
                            <w:rPr>
                              <w:rFonts w:hint="eastAsia" w:ascii="仿宋_GB2312" w:hAnsi="仿宋_GB2312" w:eastAsia="仿宋_GB2312"/>
                              <w:sz w:val="28"/>
                              <w:szCs w:val="24"/>
                            </w:rPr>
                            <w:t>—</w:t>
                          </w:r>
                          <w:r>
                            <w:rPr>
                              <w:rFonts w:hint="eastAsia" w:ascii="仿宋_GB2312" w:hAnsi="仿宋_GB2312" w:eastAsia="仿宋_GB2312"/>
                              <w:spacing w:val="-4"/>
                              <w:sz w:val="28"/>
                              <w:szCs w:val="24"/>
                            </w:rPr>
                            <w:t xml:space="preserve"> </w:t>
                          </w:r>
                          <w:r>
                            <w:rPr>
                              <w:rFonts w:ascii="Times New Roman" w:hAnsi="Times New Roman" w:eastAsia="Times New Roman"/>
                              <w:sz w:val="28"/>
                              <w:szCs w:val="24"/>
                            </w:rPr>
                            <w:fldChar w:fldCharType="begin"/>
                          </w:r>
                          <w:r>
                            <w:rPr>
                              <w:rFonts w:ascii="Times New Roman" w:hAnsi="Times New Roman" w:eastAsia="Times New Roman"/>
                              <w:sz w:val="28"/>
                              <w:szCs w:val="24"/>
                            </w:rPr>
                            <w:instrText xml:space="preserve"> PAGE </w:instrText>
                          </w:r>
                          <w:r>
                            <w:rPr>
                              <w:rFonts w:ascii="Times New Roman" w:hAnsi="Times New Roman" w:eastAsia="Times New Roman"/>
                              <w:sz w:val="28"/>
                              <w:szCs w:val="24"/>
                            </w:rPr>
                            <w:fldChar w:fldCharType="separate"/>
                          </w:r>
                          <w:r>
                            <w:rPr>
                              <w:rFonts w:ascii="Times New Roman" w:hAnsi="Times New Roman" w:eastAsia="Times New Roman"/>
                              <w:sz w:val="28"/>
                              <w:szCs w:val="24"/>
                            </w:rPr>
                            <w:fldChar w:fldCharType="end"/>
                          </w:r>
                          <w:r>
                            <w:rPr>
                              <w:rFonts w:ascii="Times New Roman" w:hAnsi="Times New Roman" w:eastAsia="Times New Roman"/>
                              <w:spacing w:val="67"/>
                              <w:sz w:val="28"/>
                              <w:szCs w:val="24"/>
                            </w:rPr>
                            <w:t xml:space="preserve"> </w:t>
                          </w:r>
                          <w:r>
                            <w:rPr>
                              <w:rFonts w:hint="eastAsia" w:ascii="仿宋_GB2312" w:hAnsi="仿宋_GB2312" w:eastAsia="仿宋_GB2312"/>
                              <w:sz w:val="28"/>
                              <w:szCs w:val="24"/>
                            </w:rPr>
                            <w:t>—</w:t>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left:464.1pt;margin-top:761.75pt;height:16.75pt;width:51pt;mso-position-horizontal-relative:page;mso-position-vertical-relative:page;z-index:-503315456;mso-width-relative:page;mso-height-relative:page;" filled="f" stroked="f" coordsize="21600,21600" o:gfxdata="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9lAqTcAAAADgEAAA8AAAAAAAAAAQAgAAAAOAAAAGRycy9k&#10;b3ducmV2LnhtbFBLAQIUABQAAAAIAIdO4kDZuMrH6AEAAKgDAAAOAAAAAAAAAAEAIAAAAEEBAABk&#10;cnMvZTJvRG9jLnhtbFBLBQYAAAAABgAGAFkBAACbBQAAAAA=&#10;">
              <v:fill on="f" focussize="0,0"/>
              <v:stroke on="f" joinstyle="round"/>
              <v:imagedata o:title=""/>
              <o:lock v:ext="edit" aspectratio="f"/>
              <v:textbox inset="0mm,0mm,0mm,0mm">
                <w:txbxContent>
                  <w:p>
                    <w:pPr>
                      <w:kinsoku w:val="0"/>
                      <w:overflowPunct w:val="0"/>
                      <w:autoSpaceDE w:val="0"/>
                      <w:autoSpaceDN w:val="0"/>
                      <w:spacing w:line="321" w:lineRule="exact"/>
                      <w:ind w:left="20"/>
                      <w:rPr>
                        <w:rFonts w:hint="eastAsia" w:ascii="仿宋_GB2312" w:hAnsi="仿宋_GB2312" w:eastAsia="仿宋_GB2312"/>
                        <w:sz w:val="28"/>
                        <w:szCs w:val="24"/>
                      </w:rPr>
                    </w:pPr>
                    <w:r>
                      <w:rPr>
                        <w:rFonts w:hint="eastAsia" w:ascii="仿宋_GB2312" w:hAnsi="仿宋_GB2312" w:eastAsia="仿宋_GB2312"/>
                        <w:sz w:val="28"/>
                        <w:szCs w:val="24"/>
                      </w:rPr>
                      <w:t>—</w:t>
                    </w:r>
                    <w:r>
                      <w:rPr>
                        <w:rFonts w:hint="eastAsia" w:ascii="仿宋_GB2312" w:hAnsi="仿宋_GB2312" w:eastAsia="仿宋_GB2312"/>
                        <w:spacing w:val="-4"/>
                        <w:sz w:val="28"/>
                        <w:szCs w:val="24"/>
                      </w:rPr>
                      <w:t xml:space="preserve"> </w:t>
                    </w:r>
                    <w:r>
                      <w:rPr>
                        <w:rFonts w:ascii="Times New Roman" w:hAnsi="Times New Roman" w:eastAsia="Times New Roman"/>
                        <w:sz w:val="28"/>
                        <w:szCs w:val="24"/>
                      </w:rPr>
                      <w:fldChar w:fldCharType="begin"/>
                    </w:r>
                    <w:r>
                      <w:rPr>
                        <w:rFonts w:ascii="Times New Roman" w:hAnsi="Times New Roman" w:eastAsia="Times New Roman"/>
                        <w:sz w:val="28"/>
                        <w:szCs w:val="24"/>
                      </w:rPr>
                      <w:instrText xml:space="preserve"> PAGE </w:instrText>
                    </w:r>
                    <w:r>
                      <w:rPr>
                        <w:rFonts w:ascii="Times New Roman" w:hAnsi="Times New Roman" w:eastAsia="Times New Roman"/>
                        <w:sz w:val="28"/>
                        <w:szCs w:val="24"/>
                      </w:rPr>
                      <w:fldChar w:fldCharType="separate"/>
                    </w:r>
                    <w:r>
                      <w:rPr>
                        <w:rFonts w:ascii="Times New Roman" w:hAnsi="Times New Roman" w:eastAsia="Times New Roman"/>
                        <w:sz w:val="28"/>
                        <w:szCs w:val="24"/>
                      </w:rPr>
                      <w:fldChar w:fldCharType="end"/>
                    </w:r>
                    <w:r>
                      <w:rPr>
                        <w:rFonts w:ascii="Times New Roman" w:hAnsi="Times New Roman" w:eastAsia="Times New Roman"/>
                        <w:spacing w:val="67"/>
                        <w:sz w:val="28"/>
                        <w:szCs w:val="24"/>
                      </w:rPr>
                      <w:t xml:space="preserve"> </w:t>
                    </w:r>
                    <w:r>
                      <w:rPr>
                        <w:rFonts w:hint="eastAsia" w:ascii="仿宋_GB2312" w:hAnsi="仿宋_GB2312" w:eastAsia="仿宋_GB2312"/>
                        <w:sz w:val="28"/>
                        <w:szCs w:val="24"/>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GIyYjIzZjNhMDM1NDc4ZjAxZjQ0YjMzMTYyYzFjY2UifQ=="/>
  </w:docVars>
  <w:rsids>
    <w:rsidRoot w:val="00000000"/>
    <w:rsid w:val="FFBE68F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uiPriority w:val="0"/>
    <w:pPr>
      <w:ind w:left="118" w:hanging="1"/>
      <w:outlineLvl w:val="0"/>
    </w:pPr>
    <w:rPr>
      <w:rFonts w:ascii="Microsoft JhengHei" w:hAnsi="Microsoft JhengHei" w:eastAsia="Microsoft JhengHei"/>
      <w:sz w:val="44"/>
      <w:szCs w:val="24"/>
    </w:rPr>
  </w:style>
  <w:style w:type="paragraph" w:styleId="3">
    <w:name w:val="heading 2"/>
    <w:basedOn w:val="1"/>
    <w:next w:val="1"/>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0">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Indent"/>
    <w:basedOn w:val="1"/>
    <w:next w:val="6"/>
    <w:uiPriority w:val="0"/>
    <w:pPr>
      <w:widowControl w:val="0"/>
      <w:ind w:firstLine="200" w:firstLineChars="200"/>
      <w:jc w:val="both"/>
    </w:pPr>
    <w:rPr>
      <w:rFonts w:ascii="Calibri" w:hAnsi="Calibri" w:eastAsia="宋体" w:cs="Times New Roman"/>
      <w:kern w:val="2"/>
      <w:sz w:val="32"/>
      <w:szCs w:val="24"/>
      <w:lang w:val="en-US" w:eastAsia="zh-CN" w:bidi="ar-SA"/>
    </w:rPr>
  </w:style>
  <w:style w:type="paragraph" w:styleId="6">
    <w:name w:val="index 7"/>
    <w:basedOn w:val="1"/>
    <w:next w:val="1"/>
    <w:uiPriority w:val="0"/>
    <w:pPr>
      <w:ind w:left="2520"/>
    </w:pPr>
  </w:style>
  <w:style w:type="paragraph" w:styleId="7">
    <w:name w:val="index 5"/>
    <w:basedOn w:val="1"/>
    <w:next w:val="1"/>
    <w:uiPriority w:val="0"/>
    <w:pPr>
      <w:ind w:left="1680"/>
    </w:pPr>
  </w:style>
  <w:style w:type="paragraph" w:styleId="8">
    <w:name w:val="Body Text"/>
    <w:basedOn w:val="1"/>
    <w:uiPriority w:val="0"/>
    <w:pPr>
      <w:spacing w:before="41"/>
      <w:ind w:left="107" w:firstLine="632"/>
    </w:pPr>
    <w:rPr>
      <w:rFonts w:ascii="仿宋_GB2312" w:hAnsi="仿宋_GB2312"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1386</Characters>
  <Lines>0</Lines>
  <Paragraphs>34</Paragraphs>
  <TotalTime>10326</TotalTime>
  <ScaleCrop>false</ScaleCrop>
  <LinksUpToDate>false</LinksUpToDate>
  <CharactersWithSpaces>1848</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2024-10-10T14:06:00Z</dcterms:created>
  <dc:creator>Administrator</dc:creator>
  <cp:lastModifiedBy>uos</cp:lastModifiedBy>
  <cp:lastPrinted>2024-11-07T15:10:00Z</cp:lastPrinted>
  <dcterms:modified xsi:type="dcterms:W3CDTF">2024-12-09T16:53:52Z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13339E5110644F759B40BAA49F1528F1_13</vt:lpwstr>
  </property>
</Properties>
</file>