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  <w:t>《义乌市社会法人守信激励和失信惩戒管理办法（征求意见稿）》和《义乌市个人守信激励和失信惩戒管理办法（征求意见稿）》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加快推进我市社会信用体系建设，打造良好社会信用环境，根据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《国家发展改革委办公厅关于开展失信约束措施清理规范工作的通知》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和《浙江省公共信用信息管理条例》等文件规定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，结合我市实际，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我办牵头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《义乌市社会法人守信激励和失信惩戒管理办法》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《义乌市个人信用管理办法（试行）》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进行修订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此次修订根据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国家发展改革委办公厅关于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开展失信约束措施清理规范工作的通知要求，对照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《浙江省公共信用信息管理条例》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规范了失信惩戒的范围和措施，同时对信用信息有效期、信用修复等条款表述也与国家、省相关文件保持一致，对不符合上级文件规定的条款和附件内容予以删除。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涉及《义乌市社会法人守信激励和失信惩戒管理办法》修改条款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21项，《义乌市个人信用管理办法（试行）》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修订为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《义乌市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守信激励和失信惩戒管理办法》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涉及修改条款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29项。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FC34BB-A4F7-40E6-AA3C-F49E87362E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D5D8C7-F821-4BD8-B179-66096C387D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6933D7-0CEA-43C5-9A7D-1DAB177832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OTg2MWRmNzJhMjMwNzQ1M2VlMTNlMTJiOTgzMjMifQ=="/>
  </w:docVars>
  <w:rsids>
    <w:rsidRoot w:val="663D68D3"/>
    <w:rsid w:val="07A07BF6"/>
    <w:rsid w:val="17D15BAA"/>
    <w:rsid w:val="2C9F7BCD"/>
    <w:rsid w:val="36C4095C"/>
    <w:rsid w:val="3FAE7C86"/>
    <w:rsid w:val="4AE77AC1"/>
    <w:rsid w:val="525777BD"/>
    <w:rsid w:val="5FD90DD7"/>
    <w:rsid w:val="663D68D3"/>
    <w:rsid w:val="6CAC2C30"/>
    <w:rsid w:val="6DF52E27"/>
    <w:rsid w:val="6FF41F48"/>
    <w:rsid w:val="743F3C02"/>
    <w:rsid w:val="7BC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2024-02-06T01:41:00Z</dcterms:created>
  <dc:creator>隔壁小王</dc:creator>
  <cp:lastModifiedBy>隔壁小王</cp:lastModifiedBy>
  <dcterms:modified xsi:type="dcterms:W3CDTF">2024-02-07T03:09:35Z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45037DB5CB9749E8949C1BCC37B5352A_11</vt:lpwstr>
  </property>
</Properties>
</file>