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left"/>
        <w:textAlignment w:val="auto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台州市路桥区市场监督管理局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“信用评判”制度实施办法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为鼓励和引导行政相对人遵纪守法，主动推进信用修复，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规范行使行政处罚裁量权，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效能，化解行政争议，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优化法治化营商环境，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根据《中华人民共和国行政处罚法》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《市场监督管理严重违法失信名单管理办法》、《市场监督管理行政处罚信息公示规定》、《市场监督管理信用修复管理办法》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秉承处罚与教育相结合的原则，为落实“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信用评判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”制度，制定本办法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一、本办法所称的“信用评判”，是指执法办案过程中，办案单位对行政相对人的信用信息进行综合评判，并以此结果作为自由裁量的依据。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二、“信用评判”适用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所有行政处罚案件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三、办案单位开展“信用评判”应考虑下列情形：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（一）行政相对人有无市场监管违法记录；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（二）行政相对人有违法记录，有无落实信用修复；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（三）法律法规规定的其他情形。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四、办案单位在执法办案时，当事人有下列情形的，可从轻处罚：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（一）行政相对人无市场监管违法记录的；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（二）行政相对人有违法记录，已落实信用修复的。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五、办案单位在执法办案过程中要注重开展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普法宣传教育，确保行政相对人知晓“信用评判”相关规定，积极落实信用修复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六、依据“信用评判”结果进行从轻处罚的案件，办案单位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作出行政处罚决定时，在文书中将当事人信用信息进行说理性阐述，并将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 w:bidi="ar-SA"/>
        </w:rPr>
        <w:t>相关证明材料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归档保存。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七、法律、法规、规章或者上级文件对本办法中内容另有规定的，从其规定。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八、本办法自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发布之日起试行。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OGQwOTVjYzFjZWQ2NTM3ZTI3NmU1MTEyNWExZDIifQ=="/>
  </w:docVars>
  <w:rsids>
    <w:rsidRoot w:val="261A4514"/>
    <w:rsid w:val="00354646"/>
    <w:rsid w:val="0571581A"/>
    <w:rsid w:val="078040E9"/>
    <w:rsid w:val="17F316D0"/>
    <w:rsid w:val="1B9145C9"/>
    <w:rsid w:val="261A4514"/>
    <w:rsid w:val="265F1F63"/>
    <w:rsid w:val="397159A0"/>
    <w:rsid w:val="4515096E"/>
    <w:rsid w:val="45B32310"/>
    <w:rsid w:val="4976313C"/>
    <w:rsid w:val="7F02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宋体"/>
      <w:sz w:val="21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2023-07-28T01:44:00Z</dcterms:created>
  <dc:creator>镜子</dc:creator>
  <cp:lastModifiedBy>zhuna</cp:lastModifiedBy>
  <dcterms:modified xsi:type="dcterms:W3CDTF">2023-09-25T07:35:30Z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DEEBF61165B24C01A7CDF8514818B549_13</vt:lpwstr>
  </property>
</Properties>
</file>