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after="0" w:line="640" w:lineRule="exact"/>
        <w:jc w:val="center"/>
        <w:textAlignment w:val="auto"/>
        <w:rPr>
          <w:rFonts w:hint="eastAsia" w:ascii="方正小标宋简体" w:hAnsi="方正小标宋简体" w:eastAsia="方正小标宋简体" w:cs="方正小标宋简体"/>
          <w:sz w:val="44"/>
          <w:szCs w:val="44"/>
        </w:rPr>
      </w:pPr>
      <w:bookmarkStart w:id="1" w:name="_GoBack"/>
      <w:r>
        <w:rPr>
          <w:rFonts w:ascii="方正小标宋简体" w:hAnsi="方正小标宋_GBK" w:eastAsia="方正小标宋简体" w:cs="方正小标宋简体"/>
          <w:sz w:val="44"/>
          <w:szCs w:val="44"/>
        </w:rPr>
        <w:t>关于公布</w:t>
      </w:r>
      <w:r>
        <w:rPr>
          <w:rFonts w:hint="eastAsia" w:ascii="方正小标宋简体" w:hAnsi="方正小标宋_GBK" w:eastAsia="方正小标宋简体" w:cs="方正小标宋简体"/>
          <w:sz w:val="44"/>
          <w:szCs w:val="44"/>
        </w:rPr>
        <w:t>《温州市瓯海区</w:t>
      </w:r>
      <w:r>
        <w:rPr>
          <w:rFonts w:hint="eastAsia" w:ascii="方正小标宋简体" w:hAnsi="方正小标宋_GBK" w:eastAsia="方正小标宋简体" w:cs="方正小标宋简体"/>
          <w:sz w:val="44"/>
          <w:szCs w:val="44"/>
          <w:lang w:val="en-US" w:eastAsia="zh-CN"/>
        </w:rPr>
        <w:t>人民政府娄桥</w:t>
      </w:r>
      <w:r>
        <w:rPr>
          <w:rFonts w:hint="eastAsia" w:ascii="方正小标宋简体" w:hAnsi="方正小标宋_GBK" w:eastAsia="方正小标宋简体" w:cs="方正小标宋简体"/>
          <w:sz w:val="44"/>
          <w:szCs w:val="44"/>
        </w:rPr>
        <w:t>街道办事处行政规范性文件清理结果目录》</w:t>
      </w:r>
      <w:r>
        <w:rPr>
          <w:rFonts w:ascii="方正小标宋简体" w:hAnsi="方正小标宋_GBK" w:eastAsia="方正小标宋简体" w:cs="方正小标宋简体"/>
          <w:sz w:val="44"/>
          <w:szCs w:val="44"/>
        </w:rPr>
        <w:t>的通知</w:t>
      </w:r>
      <w:r>
        <w:rPr>
          <w:rFonts w:hint="eastAsia" w:ascii="方正小标宋简体" w:hAnsi="方正小标宋_GBK" w:eastAsia="方正小标宋简体" w:cs="方正小标宋简体"/>
          <w:sz w:val="44"/>
          <w:szCs w:val="44"/>
        </w:rPr>
        <w:t>（征求意见稿）</w:t>
      </w:r>
    </w:p>
    <w:bookmarkEnd w:id="1"/>
    <w:p>
      <w:pPr>
        <w:keepNext w:val="0"/>
        <w:keepLines w:val="0"/>
        <w:pageBreakBefore w:val="0"/>
        <w:widowControl/>
        <w:kinsoku/>
        <w:wordWrap/>
        <w:overflowPunct/>
        <w:topLinePunct w:val="0"/>
        <w:autoSpaceDE/>
        <w:autoSpaceDN/>
        <w:bidi w:val="0"/>
        <w:adjustRightInd w:val="0"/>
        <w:snapToGrid/>
        <w:spacing w:after="0" w:line="640" w:lineRule="exact"/>
        <w:jc w:val="center"/>
        <w:textAlignment w:val="auto"/>
        <w:rPr>
          <w:rFonts w:hint="eastAsia" w:ascii="方正小标宋简体" w:hAnsi="方正小标宋简体" w:eastAsia="方正小标宋简体" w:cs="方正小标宋简体"/>
          <w:sz w:val="44"/>
          <w:szCs w:val="44"/>
        </w:rPr>
      </w:pPr>
    </w:p>
    <w:p>
      <w:pPr>
        <w:pStyle w:val="8"/>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、有关站所：</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ascii="仿宋_GB2312" w:hAnsi="仿宋_GB2312" w:eastAsia="仿宋_GB2312" w:cs="仿宋_GB2312"/>
          <w:sz w:val="32"/>
          <w:szCs w:val="32"/>
        </w:rPr>
        <w:tab/>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根据《浙江省人民政府关于推行行政规范性文件“三统一”制度的意见》（浙政发〔2012〕100 号）、《温州市人民政府关于推行行政规范性文件“三统一”制度的意见》（温政发〔2013〕38 号）、《浙江省人民政府办公厅关于做好乡镇（街道）行政规范性文件集中清理工作的通知》（浙政办发函〔2023〕32 号）、《温州市瓯海区人民政府办公室关于做好行政规范性文件清理及公开工作的通知》等文件要求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，娄桥街道对2024年12月31日前本街道发布的行政规范性文件进行集中清理。期间，街道共发布行政规范性文件3件，其中保留继续有效的文件0件，废止3件，失效0件。现予以公布。</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本通知自发布之日起施行。</w:t>
      </w:r>
    </w:p>
    <w:p>
      <w:pPr>
        <w:pStyle w:val="8"/>
        <w:spacing w:before="0" w:beforeAutospacing="0" w:after="0" w:afterAutospacing="0" w:line="600" w:lineRule="exact"/>
        <w:rPr>
          <w:rFonts w:ascii="仿宋_GB2312" w:hAnsi="仿宋_GB2312" w:eastAsia="仿宋_GB2312" w:cs="仿宋_GB2312"/>
          <w:sz w:val="32"/>
          <w:szCs w:val="32"/>
        </w:rPr>
      </w:pPr>
    </w:p>
    <w:p>
      <w:pPr>
        <w:pStyle w:val="8"/>
        <w:spacing w:before="0" w:beforeAutospacing="0" w:after="0" w:afterAutospacing="0" w:line="600" w:lineRule="exact"/>
        <w:ind w:firstLine="64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娄桥</w:t>
      </w:r>
      <w:r>
        <w:rPr>
          <w:rFonts w:hint="eastAsia" w:ascii="仿宋_GB2312" w:hAnsi="仿宋_GB2312" w:eastAsia="仿宋_GB2312" w:cs="仿宋_GB2312"/>
          <w:sz w:val="32"/>
          <w:szCs w:val="32"/>
        </w:rPr>
        <w:t>街道办事处行政规范性文件清理目录</w:t>
      </w:r>
    </w:p>
    <w:bookmarkEnd w:id="0"/>
    <w:p>
      <w:pPr>
        <w:spacing w:line="640" w:lineRule="exact"/>
        <w:rPr>
          <w:rFonts w:ascii="仿宋_GB2312" w:eastAsia="仿宋_GB2312"/>
          <w:sz w:val="32"/>
          <w:szCs w:val="32"/>
        </w:rPr>
      </w:pPr>
    </w:p>
    <w:p>
      <w:pPr>
        <w:pStyle w:val="8"/>
        <w:spacing w:before="0" w:beforeAutospacing="0" w:after="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8"/>
        <w:spacing w:before="0" w:beforeAutospacing="0" w:after="0" w:afterAutospacing="0" w:line="600" w:lineRule="exact"/>
        <w:ind w:firstLine="640" w:firstLineChars="200"/>
        <w:rPr>
          <w:rFonts w:ascii="仿宋_GB2312" w:hAnsi="Times New Roman" w:eastAsia="仿宋_GB2312" w:cs="Times New Roman"/>
          <w:kern w:val="2"/>
          <w:sz w:val="32"/>
          <w:szCs w:val="32"/>
        </w:rPr>
      </w:pPr>
    </w:p>
    <w:p>
      <w:pPr>
        <w:pStyle w:val="8"/>
        <w:spacing w:before="0" w:beforeAutospacing="0" w:after="0" w:afterAutospacing="0" w:line="600" w:lineRule="exact"/>
        <w:ind w:firstLine="2880" w:firstLineChars="9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温州市瓯海区人民政府</w:t>
      </w:r>
      <w:r>
        <w:rPr>
          <w:rFonts w:hint="eastAsia" w:ascii="仿宋_GB2312" w:hAnsi="Times New Roman" w:eastAsia="仿宋_GB2312" w:cs="Times New Roman"/>
          <w:kern w:val="2"/>
          <w:sz w:val="32"/>
          <w:szCs w:val="32"/>
          <w:lang w:eastAsia="zh-CN"/>
        </w:rPr>
        <w:t>娄</w:t>
      </w:r>
      <w:r>
        <w:rPr>
          <w:rFonts w:hint="eastAsia" w:ascii="仿宋_GB2312" w:hAnsi="Times New Roman" w:eastAsia="仿宋_GB2312" w:cs="Times New Roman"/>
          <w:kern w:val="2"/>
          <w:sz w:val="32"/>
          <w:szCs w:val="32"/>
          <w:lang w:val="en-US" w:eastAsia="zh-CN"/>
        </w:rPr>
        <w:t>桥</w:t>
      </w:r>
      <w:r>
        <w:rPr>
          <w:rFonts w:hint="eastAsia" w:ascii="仿宋_GB2312" w:hAnsi="Times New Roman" w:eastAsia="仿宋_GB2312" w:cs="Times New Roman"/>
          <w:kern w:val="2"/>
          <w:sz w:val="32"/>
          <w:szCs w:val="32"/>
        </w:rPr>
        <w:t>街道办事处</w:t>
      </w:r>
    </w:p>
    <w:p>
      <w:pPr>
        <w:pStyle w:val="8"/>
        <w:spacing w:before="0" w:beforeAutospacing="0" w:after="0" w:afterAutospacing="0" w:line="600" w:lineRule="exact"/>
        <w:ind w:left="4134" w:leftChars="1879"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202</w:t>
      </w:r>
      <w:r>
        <w:rPr>
          <w:rFonts w:hint="eastAsia" w:ascii="仿宋_GB2312" w:hAnsi="Times New Roman" w:eastAsia="仿宋_GB2312" w:cs="Times New Roman"/>
          <w:kern w:val="2"/>
          <w:sz w:val="32"/>
          <w:szCs w:val="32"/>
          <w:lang w:val="en-US" w:eastAsia="zh-CN"/>
        </w:rPr>
        <w:t>5</w:t>
      </w:r>
      <w:r>
        <w:rPr>
          <w:rFonts w:hint="eastAsia" w:ascii="仿宋_GB2312" w:hAnsi="Times New Roman" w:eastAsia="仿宋_GB2312" w:cs="Times New Roman"/>
          <w:kern w:val="2"/>
          <w:sz w:val="32"/>
          <w:szCs w:val="32"/>
        </w:rPr>
        <w:t>年</w:t>
      </w:r>
      <w:r>
        <w:rPr>
          <w:rFonts w:ascii="仿宋_GB2312" w:hAnsi="Times New Roman" w:eastAsia="仿宋_GB2312" w:cs="Times New Roman"/>
          <w:kern w:val="2"/>
          <w:sz w:val="32"/>
          <w:szCs w:val="32"/>
          <w:lang w:val="en-US" w:eastAsia="zh-CN"/>
        </w:rPr>
        <w:t xml:space="preserve">  </w:t>
      </w:r>
      <w:r>
        <w:rPr>
          <w:rFonts w:hint="eastAsia" w:ascii="仿宋_GB2312" w:hAnsi="Times New Roman" w:eastAsia="仿宋_GB2312" w:cs="Times New Roman"/>
          <w:kern w:val="2"/>
          <w:sz w:val="32"/>
          <w:szCs w:val="32"/>
        </w:rPr>
        <w:t>月</w:t>
      </w:r>
      <w:r>
        <w:rPr>
          <w:rFonts w:ascii="仿宋_GB2312" w:hAnsi="Times New Roman" w:eastAsia="仿宋_GB2312" w:cs="Times New Roman"/>
          <w:kern w:val="2"/>
          <w:sz w:val="32"/>
          <w:szCs w:val="32"/>
          <w:lang w:val="en-US" w:eastAsia="zh-CN"/>
        </w:rPr>
        <w:t xml:space="preserve">   </w:t>
      </w:r>
      <w:r>
        <w:rPr>
          <w:rFonts w:hint="eastAsia" w:ascii="仿宋_GB2312" w:hAnsi="Times New Roman" w:eastAsia="仿宋_GB2312" w:cs="Times New Roman"/>
          <w:kern w:val="2"/>
          <w:sz w:val="32"/>
          <w:szCs w:val="32"/>
        </w:rPr>
        <w:t>日</w:t>
      </w:r>
    </w:p>
    <w:p>
      <w:pPr>
        <w:keepNext w:val="0"/>
        <w:keepLines w:val="0"/>
        <w:pageBreakBefore w:val="0"/>
        <w:widowControl/>
        <w:kinsoku/>
        <w:wordWrap/>
        <w:overflowPunct/>
        <w:topLinePunct w:val="0"/>
        <w:autoSpaceDE/>
        <w:autoSpaceDN/>
        <w:bidi w:val="0"/>
        <w:adjustRightInd w:val="0"/>
        <w:snapToGrid/>
        <w:spacing w:after="0" w:line="64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w:t>
      </w:r>
    </w:p>
    <w:p>
      <w:pPr>
        <w:keepNext w:val="0"/>
        <w:keepLines w:val="0"/>
        <w:pageBreakBefore w:val="0"/>
        <w:widowControl/>
        <w:kinsoku/>
        <w:wordWrap/>
        <w:overflowPunct/>
        <w:topLinePunct w:val="0"/>
        <w:autoSpaceDE/>
        <w:autoSpaceDN/>
        <w:bidi w:val="0"/>
        <w:adjustRightInd w:val="0"/>
        <w:snapToGrid/>
        <w:spacing w:after="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_GBK" w:eastAsia="方正小标宋简体" w:cs="方正小标宋简体"/>
          <w:sz w:val="44"/>
          <w:szCs w:val="44"/>
        </w:rPr>
        <w:t>温州市瓯海区</w:t>
      </w:r>
      <w:r>
        <w:rPr>
          <w:rFonts w:hint="eastAsia" w:ascii="方正小标宋简体" w:hAnsi="方正小标宋_GBK" w:eastAsia="方正小标宋简体" w:cs="方正小标宋简体"/>
          <w:sz w:val="44"/>
          <w:szCs w:val="44"/>
          <w:lang w:val="en-US" w:eastAsia="zh-CN"/>
        </w:rPr>
        <w:t>人民政府娄桥</w:t>
      </w:r>
      <w:r>
        <w:rPr>
          <w:rFonts w:hint="eastAsia" w:ascii="方正小标宋简体" w:hAnsi="方正小标宋_GBK" w:eastAsia="方正小标宋简体" w:cs="方正小标宋简体"/>
          <w:sz w:val="44"/>
          <w:szCs w:val="44"/>
        </w:rPr>
        <w:t>街道办事处行政规范性文件清理</w:t>
      </w:r>
      <w:r>
        <w:rPr>
          <w:rFonts w:ascii="方正小标宋简体" w:hAnsi="方正小标宋_GBK" w:eastAsia="方正小标宋简体" w:cs="方正小标宋简体"/>
          <w:sz w:val="44"/>
          <w:szCs w:val="44"/>
        </w:rPr>
        <w:t>结果</w:t>
      </w:r>
      <w:r>
        <w:rPr>
          <w:rFonts w:hint="eastAsia" w:ascii="方正小标宋简体" w:hAnsi="方正小标宋_GBK" w:eastAsia="方正小标宋简体" w:cs="方正小标宋简体"/>
          <w:sz w:val="44"/>
          <w:szCs w:val="44"/>
        </w:rPr>
        <w:t>目录</w:t>
      </w:r>
    </w:p>
    <w:p>
      <w:pPr>
        <w:spacing w:line="640" w:lineRule="exact"/>
        <w:jc w:val="center"/>
        <w:rPr>
          <w:rFonts w:ascii="方正小标宋简体" w:hAnsi="方正小标宋简体" w:eastAsia="方正小标宋简体" w:cs="方正小标宋简体"/>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790"/>
        <w:gridCol w:w="36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序号</w:t>
            </w:r>
          </w:p>
        </w:tc>
        <w:tc>
          <w:tcPr>
            <w:tcW w:w="2790"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文号</w:t>
            </w:r>
          </w:p>
        </w:tc>
        <w:tc>
          <w:tcPr>
            <w:tcW w:w="3627"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行政规范性文件名称</w:t>
            </w:r>
          </w:p>
        </w:tc>
        <w:tc>
          <w:tcPr>
            <w:tcW w:w="1440" w:type="dxa"/>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1</w:t>
            </w:r>
          </w:p>
        </w:tc>
        <w:tc>
          <w:tcPr>
            <w:tcW w:w="2790" w:type="dxa"/>
            <w:tcBorders>
              <w:left w:val="single" w:color="auto" w:sz="4" w:space="0"/>
              <w:right w:val="single" w:color="auto" w:sz="4" w:space="0"/>
            </w:tcBorders>
            <w:vAlign w:val="center"/>
          </w:tcPr>
          <w:p>
            <w:pPr>
              <w:pStyle w:val="8"/>
              <w:keepNext w:val="0"/>
              <w:keepLines w:val="0"/>
              <w:widowControl/>
              <w:suppressLineNumbers w:val="0"/>
              <w:spacing w:after="150" w:afterAutospacing="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瓯娄政〔2014〕134号</w:t>
            </w:r>
          </w:p>
        </w:tc>
        <w:tc>
          <w:tcPr>
            <w:tcW w:w="3627" w:type="dxa"/>
            <w:tcBorders>
              <w:top w:val="single" w:color="auto" w:sz="4" w:space="0"/>
              <w:left w:val="single" w:color="auto" w:sz="4" w:space="0"/>
              <w:right w:val="single" w:color="auto" w:sz="4" w:space="0"/>
            </w:tcBorders>
            <w:vAlign w:val="center"/>
          </w:tcPr>
          <w:p>
            <w:pPr>
              <w:pStyle w:val="8"/>
              <w:keepNext w:val="0"/>
              <w:keepLines w:val="0"/>
              <w:widowControl/>
              <w:suppressLineNumbers w:val="0"/>
              <w:spacing w:after="150" w:afterAutospacing="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关于进一步做好私坟“禁新”工作的意见的通知</w:t>
            </w:r>
          </w:p>
        </w:tc>
        <w:tc>
          <w:tcPr>
            <w:tcW w:w="1440"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819"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2</w:t>
            </w:r>
          </w:p>
        </w:tc>
        <w:tc>
          <w:tcPr>
            <w:tcW w:w="2790" w:type="dxa"/>
            <w:tcBorders>
              <w:left w:val="single" w:color="auto" w:sz="4" w:space="0"/>
              <w:right w:val="single" w:color="auto" w:sz="4" w:space="0"/>
            </w:tcBorders>
            <w:vAlign w:val="center"/>
          </w:tcPr>
          <w:p>
            <w:pPr>
              <w:widowControl w:val="0"/>
              <w:spacing w:line="640" w:lineRule="exact"/>
              <w:jc w:val="both"/>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瓯娄办〔2023〕127号</w:t>
            </w:r>
          </w:p>
        </w:tc>
        <w:tc>
          <w:tcPr>
            <w:tcW w:w="3627" w:type="dxa"/>
            <w:tcBorders>
              <w:top w:val="single" w:color="auto" w:sz="4" w:space="0"/>
              <w:left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bdr w:val="none" w:color="auto" w:sz="0" w:space="0"/>
                <w:shd w:val="clear" w:color="auto" w:fill="auto"/>
              </w:rPr>
              <w:t>关于公布娄桥街道行政规范性文件清理结果的通知</w:t>
            </w:r>
          </w:p>
        </w:tc>
        <w:tc>
          <w:tcPr>
            <w:tcW w:w="1440"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3</w:t>
            </w:r>
          </w:p>
        </w:tc>
        <w:tc>
          <w:tcPr>
            <w:tcW w:w="2790" w:type="dxa"/>
            <w:tcBorders>
              <w:left w:val="single" w:color="auto" w:sz="4" w:space="0"/>
              <w:right w:val="single" w:color="auto" w:sz="4" w:space="0"/>
            </w:tcBorders>
            <w:vAlign w:val="center"/>
          </w:tcPr>
          <w:p>
            <w:pPr>
              <w:widowControl w:val="0"/>
              <w:spacing w:line="640" w:lineRule="exact"/>
              <w:jc w:val="both"/>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瓯娄办〔2024〕185号</w:t>
            </w:r>
          </w:p>
        </w:tc>
        <w:tc>
          <w:tcPr>
            <w:tcW w:w="3627" w:type="dxa"/>
            <w:tcBorders>
              <w:top w:val="single" w:color="auto" w:sz="4" w:space="0"/>
              <w:left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bdr w:val="none" w:color="auto" w:sz="0" w:space="0"/>
                <w:shd w:val="clear" w:color="auto" w:fill="auto"/>
              </w:rPr>
              <w:t>关于废止《关于印发2024年娄桥街道生活垃圾分类工作考法办法的通知》瓯娄办〔2024〕</w:t>
            </w:r>
            <w:r>
              <w:rPr>
                <w:rFonts w:hint="eastAsia" w:ascii="仿宋_GB2312" w:hAnsi="仿宋_GB2312" w:eastAsia="仿宋_GB2312" w:cs="仿宋_GB2312"/>
                <w:b w:val="0"/>
                <w:bCs w:val="0"/>
                <w:i w:val="0"/>
                <w:caps w:val="0"/>
                <w:color w:val="auto"/>
                <w:spacing w:val="0"/>
                <w:sz w:val="32"/>
                <w:szCs w:val="32"/>
                <w:bdr w:val="none" w:color="auto" w:sz="0" w:space="0"/>
                <w:shd w:val="clear" w:color="auto" w:fill="auto"/>
              </w:rPr>
              <w:br w:type="textWrapping"/>
            </w:r>
            <w:r>
              <w:rPr>
                <w:rFonts w:hint="eastAsia" w:ascii="仿宋_GB2312" w:hAnsi="仿宋_GB2312" w:eastAsia="仿宋_GB2312" w:cs="仿宋_GB2312"/>
                <w:b w:val="0"/>
                <w:bCs w:val="0"/>
                <w:i w:val="0"/>
                <w:caps w:val="0"/>
                <w:color w:val="auto"/>
                <w:spacing w:val="0"/>
                <w:sz w:val="32"/>
                <w:szCs w:val="32"/>
                <w:bdr w:val="none" w:color="auto" w:sz="0" w:space="0"/>
                <w:shd w:val="clear" w:color="auto" w:fill="auto"/>
              </w:rPr>
              <w:t>76号的通知</w:t>
            </w:r>
          </w:p>
          <w:p>
            <w:pPr>
              <w:widowControl w:val="0"/>
              <w:spacing w:line="360" w:lineRule="auto"/>
              <w:jc w:val="both"/>
              <w:rPr>
                <w:rFonts w:hint="eastAsia" w:ascii="仿宋_GB2312" w:hAnsi="仿宋_GB2312" w:eastAsia="仿宋_GB2312" w:cs="仿宋_GB2312"/>
                <w:b w:val="0"/>
                <w:bCs w:val="0"/>
                <w:color w:val="auto"/>
                <w:sz w:val="32"/>
                <w:szCs w:val="32"/>
                <w:shd w:val="clear" w:color="auto" w:fill="auto"/>
              </w:rPr>
            </w:pPr>
          </w:p>
        </w:tc>
        <w:tc>
          <w:tcPr>
            <w:tcW w:w="1440" w:type="dxa"/>
            <w:vAlign w:val="center"/>
          </w:tcPr>
          <w:p>
            <w:pPr>
              <w:widowControl w:val="0"/>
              <w:spacing w:line="640" w:lineRule="exact"/>
              <w:jc w:val="center"/>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ascii="仿宋_GB2312" w:hAnsi="仿宋_GB2312" w:eastAsia="仿宋_GB2312" w:cs="仿宋_GB2312"/>
                <w:sz w:val="24"/>
                <w:szCs w:val="24"/>
              </w:rPr>
            </w:pPr>
          </w:p>
        </w:tc>
        <w:tc>
          <w:tcPr>
            <w:tcW w:w="2790" w:type="dxa"/>
            <w:tcBorders>
              <w:left w:val="single" w:color="auto" w:sz="4" w:space="0"/>
              <w:right w:val="single" w:color="auto" w:sz="4" w:space="0"/>
            </w:tcBorders>
            <w:vAlign w:val="center"/>
          </w:tcPr>
          <w:p>
            <w:pPr>
              <w:widowControl w:val="0"/>
              <w:spacing w:line="640" w:lineRule="exact"/>
              <w:jc w:val="both"/>
              <w:rPr>
                <w:rFonts w:ascii="仿宋_GB2312" w:hAnsi="仿宋_GB2312" w:eastAsia="仿宋_GB2312" w:cs="仿宋_GB2312"/>
                <w:sz w:val="24"/>
                <w:szCs w:val="24"/>
              </w:rPr>
            </w:pPr>
          </w:p>
        </w:tc>
        <w:tc>
          <w:tcPr>
            <w:tcW w:w="3627" w:type="dxa"/>
            <w:tcBorders>
              <w:left w:val="single" w:color="auto" w:sz="4" w:space="0"/>
              <w:right w:val="single" w:color="auto" w:sz="4" w:space="0"/>
            </w:tcBorders>
            <w:vAlign w:val="center"/>
          </w:tcPr>
          <w:p>
            <w:pPr>
              <w:widowControl w:val="0"/>
              <w:spacing w:line="360" w:lineRule="auto"/>
              <w:jc w:val="both"/>
              <w:rPr>
                <w:rFonts w:ascii="仿宋_GB2312" w:hAnsi="仿宋_GB2312" w:eastAsia="仿宋_GB2312" w:cs="仿宋_GB2312"/>
                <w:sz w:val="24"/>
                <w:szCs w:val="24"/>
              </w:rPr>
            </w:pPr>
          </w:p>
        </w:tc>
        <w:tc>
          <w:tcPr>
            <w:tcW w:w="1440" w:type="dxa"/>
            <w:vAlign w:val="center"/>
          </w:tcPr>
          <w:p>
            <w:pPr>
              <w:widowControl w:val="0"/>
              <w:spacing w:line="6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ascii="仿宋_GB2312" w:hAnsi="仿宋_GB2312" w:eastAsia="仿宋_GB2312" w:cs="仿宋_GB2312"/>
                <w:sz w:val="24"/>
                <w:szCs w:val="24"/>
              </w:rPr>
            </w:pPr>
          </w:p>
        </w:tc>
        <w:tc>
          <w:tcPr>
            <w:tcW w:w="2790" w:type="dxa"/>
            <w:tcBorders>
              <w:left w:val="single" w:color="auto" w:sz="4" w:space="0"/>
              <w:right w:val="single" w:color="auto" w:sz="4" w:space="0"/>
            </w:tcBorders>
            <w:vAlign w:val="center"/>
          </w:tcPr>
          <w:p>
            <w:pPr>
              <w:widowControl w:val="0"/>
              <w:spacing w:line="640" w:lineRule="exact"/>
              <w:jc w:val="both"/>
              <w:rPr>
                <w:rFonts w:ascii="仿宋_GB2312" w:hAnsi="仿宋_GB2312" w:eastAsia="仿宋_GB2312" w:cs="仿宋_GB2312"/>
                <w:sz w:val="24"/>
                <w:szCs w:val="24"/>
              </w:rPr>
            </w:pPr>
          </w:p>
        </w:tc>
        <w:tc>
          <w:tcPr>
            <w:tcW w:w="3627" w:type="dxa"/>
            <w:tcBorders>
              <w:left w:val="single" w:color="auto" w:sz="4" w:space="0"/>
              <w:right w:val="single" w:color="auto" w:sz="4" w:space="0"/>
            </w:tcBorders>
            <w:vAlign w:val="center"/>
          </w:tcPr>
          <w:p>
            <w:pPr>
              <w:widowControl w:val="0"/>
              <w:spacing w:line="360" w:lineRule="auto"/>
              <w:jc w:val="both"/>
              <w:rPr>
                <w:rFonts w:ascii="仿宋_GB2312" w:hAnsi="仿宋_GB2312" w:eastAsia="仿宋_GB2312" w:cs="仿宋_GB2312"/>
                <w:sz w:val="24"/>
                <w:szCs w:val="24"/>
              </w:rPr>
            </w:pPr>
          </w:p>
        </w:tc>
        <w:tc>
          <w:tcPr>
            <w:tcW w:w="1440" w:type="dxa"/>
            <w:vAlign w:val="center"/>
          </w:tcPr>
          <w:p>
            <w:pPr>
              <w:widowControl w:val="0"/>
              <w:spacing w:line="6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widowControl w:val="0"/>
              <w:spacing w:line="640" w:lineRule="exact"/>
              <w:jc w:val="center"/>
              <w:rPr>
                <w:rFonts w:ascii="仿宋_GB2312" w:hAnsi="仿宋_GB2312" w:eastAsia="仿宋_GB2312" w:cs="仿宋_GB2312"/>
                <w:sz w:val="24"/>
                <w:szCs w:val="24"/>
              </w:rPr>
            </w:pPr>
          </w:p>
        </w:tc>
        <w:tc>
          <w:tcPr>
            <w:tcW w:w="2790" w:type="dxa"/>
            <w:tcBorders>
              <w:left w:val="single" w:color="auto" w:sz="4" w:space="0"/>
              <w:right w:val="single" w:color="auto" w:sz="4" w:space="0"/>
            </w:tcBorders>
            <w:vAlign w:val="center"/>
          </w:tcPr>
          <w:p>
            <w:pPr>
              <w:widowControl w:val="0"/>
              <w:spacing w:line="640" w:lineRule="exact"/>
              <w:jc w:val="both"/>
              <w:rPr>
                <w:rFonts w:ascii="仿宋_GB2312" w:hAnsi="仿宋_GB2312" w:eastAsia="仿宋_GB2312" w:cs="仿宋_GB2312"/>
                <w:sz w:val="24"/>
                <w:szCs w:val="24"/>
              </w:rPr>
            </w:pPr>
          </w:p>
        </w:tc>
        <w:tc>
          <w:tcPr>
            <w:tcW w:w="3627" w:type="dxa"/>
            <w:tcBorders>
              <w:left w:val="single" w:color="auto" w:sz="4" w:space="0"/>
              <w:right w:val="single" w:color="auto" w:sz="4" w:space="0"/>
            </w:tcBorders>
            <w:vAlign w:val="center"/>
          </w:tcPr>
          <w:p>
            <w:pPr>
              <w:widowControl w:val="0"/>
              <w:spacing w:line="360" w:lineRule="auto"/>
              <w:jc w:val="both"/>
              <w:rPr>
                <w:rFonts w:ascii="仿宋_GB2312" w:hAnsi="仿宋_GB2312" w:eastAsia="仿宋_GB2312" w:cs="仿宋_GB2312"/>
                <w:sz w:val="24"/>
                <w:szCs w:val="24"/>
              </w:rPr>
            </w:pPr>
          </w:p>
        </w:tc>
        <w:tc>
          <w:tcPr>
            <w:tcW w:w="1440" w:type="dxa"/>
            <w:vAlign w:val="center"/>
          </w:tcPr>
          <w:p>
            <w:pPr>
              <w:widowControl w:val="0"/>
              <w:spacing w:line="6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right w:val="single" w:color="auto" w:sz="4" w:space="0"/>
            </w:tcBorders>
            <w:vAlign w:val="center"/>
          </w:tcPr>
          <w:p>
            <w:pPr>
              <w:widowControl w:val="0"/>
              <w:spacing w:line="640" w:lineRule="exact"/>
              <w:jc w:val="center"/>
              <w:rPr>
                <w:rFonts w:ascii="仿宋_GB2312" w:hAnsi="仿宋_GB2312" w:eastAsia="仿宋_GB2312" w:cs="仿宋_GB2312"/>
                <w:sz w:val="24"/>
                <w:szCs w:val="24"/>
              </w:rPr>
            </w:pPr>
          </w:p>
        </w:tc>
        <w:tc>
          <w:tcPr>
            <w:tcW w:w="2790" w:type="dxa"/>
            <w:tcBorders>
              <w:top w:val="single" w:color="auto" w:sz="4" w:space="0"/>
              <w:left w:val="single" w:color="auto" w:sz="4" w:space="0"/>
              <w:right w:val="single" w:color="auto" w:sz="4" w:space="0"/>
            </w:tcBorders>
            <w:vAlign w:val="center"/>
          </w:tcPr>
          <w:p>
            <w:pPr>
              <w:widowControl w:val="0"/>
              <w:spacing w:line="640" w:lineRule="exact"/>
              <w:jc w:val="both"/>
              <w:rPr>
                <w:rFonts w:ascii="仿宋_GB2312" w:hAnsi="仿宋_GB2312" w:eastAsia="仿宋_GB2312" w:cs="仿宋_GB2312"/>
                <w:sz w:val="24"/>
                <w:szCs w:val="24"/>
              </w:rPr>
            </w:pPr>
          </w:p>
        </w:tc>
        <w:tc>
          <w:tcPr>
            <w:tcW w:w="3627" w:type="dxa"/>
            <w:tcBorders>
              <w:top w:val="single" w:color="auto" w:sz="4" w:space="0"/>
              <w:left w:val="single" w:color="auto" w:sz="4" w:space="0"/>
              <w:right w:val="single" w:color="auto" w:sz="4" w:space="0"/>
            </w:tcBorders>
            <w:vAlign w:val="center"/>
          </w:tcPr>
          <w:p>
            <w:pPr>
              <w:widowControl w:val="0"/>
              <w:spacing w:line="360" w:lineRule="auto"/>
              <w:jc w:val="both"/>
              <w:rPr>
                <w:rFonts w:ascii="仿宋_GB2312" w:hAnsi="仿宋_GB2312" w:eastAsia="仿宋_GB2312" w:cs="仿宋_GB2312"/>
                <w:sz w:val="24"/>
                <w:szCs w:val="24"/>
              </w:rPr>
            </w:pPr>
          </w:p>
        </w:tc>
        <w:tc>
          <w:tcPr>
            <w:tcW w:w="1440" w:type="dxa"/>
            <w:tcBorders>
              <w:top w:val="single" w:color="auto" w:sz="4" w:space="0"/>
              <w:left w:val="single" w:color="auto" w:sz="4" w:space="0"/>
              <w:right w:val="single" w:color="auto" w:sz="4" w:space="0"/>
            </w:tcBorders>
            <w:vAlign w:val="center"/>
          </w:tcPr>
          <w:p>
            <w:pPr>
              <w:widowControl w:val="0"/>
              <w:spacing w:line="6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right w:val="single" w:color="auto" w:sz="4" w:space="0"/>
            </w:tcBorders>
            <w:vAlign w:val="center"/>
          </w:tcPr>
          <w:p>
            <w:pPr>
              <w:widowControl w:val="0"/>
              <w:spacing w:line="640" w:lineRule="exact"/>
              <w:jc w:val="center"/>
              <w:rPr>
                <w:rFonts w:ascii="仿宋_GB2312" w:hAnsi="仿宋_GB2312" w:eastAsia="仿宋_GB2312" w:cs="仿宋_GB2312"/>
                <w:sz w:val="24"/>
                <w:szCs w:val="24"/>
              </w:rPr>
            </w:pPr>
          </w:p>
        </w:tc>
        <w:tc>
          <w:tcPr>
            <w:tcW w:w="2790" w:type="dxa"/>
            <w:tcBorders>
              <w:top w:val="single" w:color="auto" w:sz="4" w:space="0"/>
              <w:left w:val="single" w:color="auto" w:sz="4" w:space="0"/>
              <w:right w:val="single" w:color="auto" w:sz="4" w:space="0"/>
            </w:tcBorders>
            <w:vAlign w:val="center"/>
          </w:tcPr>
          <w:p>
            <w:pPr>
              <w:widowControl w:val="0"/>
              <w:spacing w:line="640" w:lineRule="exact"/>
              <w:jc w:val="both"/>
              <w:rPr>
                <w:rFonts w:ascii="仿宋_GB2312" w:hAnsi="仿宋_GB2312" w:eastAsia="仿宋_GB2312" w:cs="仿宋_GB2312"/>
                <w:sz w:val="24"/>
                <w:szCs w:val="24"/>
              </w:rPr>
            </w:pPr>
          </w:p>
        </w:tc>
        <w:tc>
          <w:tcPr>
            <w:tcW w:w="3627" w:type="dxa"/>
            <w:tcBorders>
              <w:top w:val="single" w:color="auto" w:sz="4" w:space="0"/>
              <w:left w:val="single" w:color="auto" w:sz="4" w:space="0"/>
              <w:right w:val="single" w:color="auto" w:sz="4" w:space="0"/>
            </w:tcBorders>
            <w:vAlign w:val="center"/>
          </w:tcPr>
          <w:p>
            <w:pPr>
              <w:widowControl w:val="0"/>
              <w:spacing w:line="360" w:lineRule="auto"/>
              <w:jc w:val="both"/>
              <w:rPr>
                <w:rFonts w:ascii="仿宋_GB2312" w:hAnsi="仿宋_GB2312" w:eastAsia="仿宋_GB2312" w:cs="仿宋_GB2312"/>
                <w:sz w:val="24"/>
                <w:szCs w:val="24"/>
              </w:rPr>
            </w:pPr>
          </w:p>
        </w:tc>
        <w:tc>
          <w:tcPr>
            <w:tcW w:w="1440" w:type="dxa"/>
            <w:tcBorders>
              <w:top w:val="single" w:color="auto" w:sz="4" w:space="0"/>
              <w:left w:val="single" w:color="auto" w:sz="4" w:space="0"/>
              <w:right w:val="single" w:color="auto" w:sz="4" w:space="0"/>
            </w:tcBorders>
            <w:vAlign w:val="center"/>
          </w:tcPr>
          <w:p>
            <w:pPr>
              <w:widowControl w:val="0"/>
              <w:spacing w:line="6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right w:val="single" w:color="auto" w:sz="4" w:space="0"/>
            </w:tcBorders>
            <w:vAlign w:val="center"/>
          </w:tcPr>
          <w:p>
            <w:pPr>
              <w:widowControl w:val="0"/>
              <w:spacing w:line="640" w:lineRule="exact"/>
              <w:jc w:val="center"/>
              <w:rPr>
                <w:rFonts w:ascii="仿宋_GB2312" w:hAnsi="仿宋_GB2312" w:eastAsia="仿宋_GB2312" w:cs="仿宋_GB2312"/>
                <w:sz w:val="24"/>
                <w:szCs w:val="24"/>
              </w:rPr>
            </w:pPr>
          </w:p>
        </w:tc>
        <w:tc>
          <w:tcPr>
            <w:tcW w:w="2790" w:type="dxa"/>
            <w:tcBorders>
              <w:top w:val="single" w:color="auto" w:sz="4" w:space="0"/>
              <w:left w:val="single" w:color="auto" w:sz="4" w:space="0"/>
              <w:right w:val="single" w:color="auto" w:sz="4" w:space="0"/>
            </w:tcBorders>
            <w:vAlign w:val="center"/>
          </w:tcPr>
          <w:p>
            <w:pPr>
              <w:widowControl w:val="0"/>
              <w:spacing w:line="640" w:lineRule="exact"/>
              <w:jc w:val="both"/>
              <w:rPr>
                <w:rFonts w:ascii="仿宋_GB2312" w:hAnsi="仿宋_GB2312" w:eastAsia="仿宋_GB2312" w:cs="仿宋_GB2312"/>
                <w:sz w:val="24"/>
                <w:szCs w:val="24"/>
              </w:rPr>
            </w:pPr>
          </w:p>
        </w:tc>
        <w:tc>
          <w:tcPr>
            <w:tcW w:w="3627" w:type="dxa"/>
            <w:tcBorders>
              <w:top w:val="single" w:color="auto" w:sz="4" w:space="0"/>
              <w:left w:val="single" w:color="auto" w:sz="4" w:space="0"/>
              <w:right w:val="single" w:color="auto" w:sz="4" w:space="0"/>
            </w:tcBorders>
            <w:vAlign w:val="center"/>
          </w:tcPr>
          <w:p>
            <w:pPr>
              <w:widowControl w:val="0"/>
              <w:spacing w:line="360" w:lineRule="auto"/>
              <w:jc w:val="both"/>
              <w:rPr>
                <w:rFonts w:ascii="仿宋_GB2312" w:hAnsi="仿宋_GB2312" w:eastAsia="仿宋_GB2312" w:cs="仿宋_GB2312"/>
                <w:sz w:val="24"/>
                <w:szCs w:val="24"/>
              </w:rPr>
            </w:pPr>
          </w:p>
        </w:tc>
        <w:tc>
          <w:tcPr>
            <w:tcW w:w="1440" w:type="dxa"/>
            <w:tcBorders>
              <w:top w:val="single" w:color="auto" w:sz="4" w:space="0"/>
              <w:left w:val="single" w:color="auto" w:sz="4" w:space="0"/>
              <w:right w:val="single" w:color="auto" w:sz="4" w:space="0"/>
            </w:tcBorders>
            <w:vAlign w:val="center"/>
          </w:tcPr>
          <w:p>
            <w:pPr>
              <w:widowControl w:val="0"/>
              <w:spacing w:line="640" w:lineRule="exact"/>
              <w:jc w:val="center"/>
              <w:rPr>
                <w:rFonts w:ascii="仿宋_GB2312" w:hAnsi="仿宋_GB2312" w:eastAsia="仿宋_GB2312" w:cs="仿宋_GB2312"/>
                <w:sz w:val="24"/>
                <w:szCs w:val="24"/>
              </w:rPr>
            </w:pPr>
          </w:p>
        </w:tc>
      </w:tr>
    </w:tbl>
    <w:p>
      <w:pPr>
        <w:spacing w:line="640" w:lineRule="exact"/>
        <w:jc w:val="center"/>
        <w:rPr>
          <w:rFonts w:ascii="仿宋_GB2312" w:hAnsi="仿宋_GB2312" w:eastAsia="仿宋_GB2312" w:cs="仿宋_GB2312"/>
          <w:sz w:val="24"/>
          <w:szCs w:val="24"/>
        </w:rPr>
      </w:pPr>
    </w:p>
    <w:sectPr>
      <w:headerReference r:id="rId3" w:type="default"/>
      <w:pgSz w:w="11906" w:h="16838"/>
      <w:pgMar w:top="1440" w:right="1646"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0"/>
  <w:defaultTabStop w:val="720"/>
  <w:drawingGridHorizontalSpacing w:val="110"/>
  <w:drawingGridVerticalSpacing w:val="156"/>
  <w:displayHorizontalDrawingGridEvery w:val="1"/>
  <w:displayVerticalDrawingGridEvery w:val="1"/>
  <w:noPunctuationKerning w:val="1"/>
  <w:noLineBreaksAfter w:lang="zh-CN" w:val="$([{£¥·‘“〈《「『【〔〖〝﹙﹛﹝＄（．［｛￡￥"/>
  <w:noLineBreaksBefore w:lang="zh-CN" w:val="!%),.:;&gt;?]}¢¨°·ˇˉ―‖’”…‰′″›℃∶、。〃〉》」』】〕〗〞︶︺︾﹀﹄﹚﹜﹞！＂％＇），．：；？］｀｜｝～￠"/>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hkOTYwZTBiMzg5MGU2NTY4ZDM3MDYxNmZlZWEyMDQifQ=="/>
  </w:docVars>
  <w:rsids>
    <w:rsidRoot w:val="00000000"/>
    <w:rsid w:val="1B0A5054"/>
    <w:rsid w:val="2307565F"/>
    <w:rsid w:val="32F179CF"/>
    <w:rsid w:val="3B4B765D"/>
    <w:rsid w:val="40DB729A"/>
    <w:rsid w:val="51AB2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0"/>
    <w:rPr>
      <w:rFonts w:cs="Times New Roman"/>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5F990-E352-4986-B705-7A329C2FDEE5}">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Pages>
  <Words>486</Words>
  <Characters>512</Characters>
  <Lines>0</Lines>
  <Paragraphs>19</Paragraphs>
  <TotalTime>1</TotalTime>
  <ScaleCrop>false</ScaleCrop>
  <LinksUpToDate>false</LinksUpToDate>
  <CharactersWithSpaces>527</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2021-05-28T01:37:00Z</dcterms:created>
  <dc:creator>Administrator</dc:creator>
  <cp:lastModifiedBy>WPS_1676271921</cp:lastModifiedBy>
  <cp:lastPrinted>2021-05-31T06:53:00Z</cp:lastPrinted>
  <dcterms:modified xsi:type="dcterms:W3CDTF">2025-04-03T06:51:26Z</dcterms:modified>
  <dc:title>瓯景政[2021]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C3F90E5C570F41CDB063E67D9C215B38</vt:lpwstr>
  </property>
</Properties>
</file>