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2"/>
        <w:rPr>
          <w:rFonts w:hint="eastAsia" w:ascii="黑体" w:hAnsi="黑体" w:eastAsia="黑体" w:cs="方正大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2"/>
        <w:rPr>
          <w:rFonts w:hint="default" w:ascii="小标宋" w:eastAsia="小标宋" w:cs="方正大标宋简体"/>
          <w:sz w:val="44"/>
          <w:szCs w:val="44"/>
          <w:lang w:val="en-US"/>
        </w:rPr>
      </w:pPr>
      <w:r>
        <w:rPr>
          <w:rFonts w:hint="eastAsia" w:ascii="小标宋" w:eastAsia="小标宋" w:cs="方正大标宋简体"/>
          <w:sz w:val="44"/>
          <w:szCs w:val="44"/>
          <w:lang w:eastAsia="zh-CN"/>
        </w:rPr>
        <w:t>庆元县</w:t>
      </w:r>
      <w:r>
        <w:rPr>
          <w:rFonts w:hint="eastAsia" w:ascii="小标宋" w:eastAsia="小标宋" w:cs="方正大标宋简体"/>
          <w:sz w:val="44"/>
          <w:szCs w:val="44"/>
        </w:rPr>
        <w:t>政府投资项目</w:t>
      </w:r>
      <w:r>
        <w:rPr>
          <w:rFonts w:hint="eastAsia" w:ascii="小标宋" w:eastAsia="小标宋" w:cs="方正大标宋简体"/>
          <w:sz w:val="44"/>
          <w:szCs w:val="44"/>
          <w:lang w:eastAsia="zh-CN"/>
        </w:rPr>
        <w:t>代建操作细则</w:t>
      </w:r>
      <w:r>
        <w:rPr>
          <w:rFonts w:hint="eastAsia" w:ascii="小标宋" w:eastAsia="小标宋" w:cs="方正大标宋简体"/>
          <w:sz w:val="44"/>
          <w:szCs w:val="44"/>
          <w:lang w:val="en-US" w:eastAsia="zh-CN"/>
        </w:rPr>
        <w:t>(征求意见稿</w:t>
      </w:r>
      <w:bookmarkStart w:id="2" w:name="_GoBack"/>
      <w:bookmarkEnd w:id="2"/>
      <w:r>
        <w:rPr>
          <w:rFonts w:hint="eastAsia" w:ascii="小标宋" w:eastAsia="小标宋" w:cs="方正大标宋简体"/>
          <w:sz w:val="44"/>
          <w:szCs w:val="4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FZFS" w:eastAsia="FZFS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为进一步深化投资体制改革、优化营商环境，提高政府投资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项目的建设管理水平和投资效益，规范政府投资建设程序，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按照“投资、建设、管理、使用”分离的原则，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根据《财政部关于印发&lt;基本建设项目建设成本管理规定&gt;的通知》（财建〔2016〕504 号）和《浙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江省政府投资项目管理办法》（省政府令第 363 号）等相关规定，结合我县实际，特制定本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操作细则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一、代建制的定义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细则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所称代建制，是指政府设立（或授权）、政府招标产生的代建制项目，由代建单位负责项目的投资管理和建设组织实施工作，并承担控制项目投资、质量、工期和施工安全等责任，项目建成后交付给业主单位的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代建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细则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适用于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县发改局下达的年度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基本建设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项目投资计划中列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为代建的项目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代建方式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CN"/>
        </w:rPr>
        <w:t>业主单位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基本建设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项目投资计划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TW"/>
        </w:rPr>
        <w:t>完成项目建议书批复，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CN"/>
        </w:rPr>
        <w:t>在推进项目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前期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过程中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与代建单位签订代建合同，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由代建单位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履行业主单位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职责的项目（注：为确保代建项目建设实施期间顺利推进，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项目全生命周期过程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均加盖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业主单位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、代建单位公章），直至竣工验收、缺陷责任期结束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。代建单位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负责投资、质量、工期的控制和安全生产管理，按规定办理项目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结算审计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一般情况下，政府投资项目由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CN"/>
        </w:rPr>
        <w:t>业主单位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通过招标方式，选择社会专业化的代建单位。确需政府授权的代建项目，根据项目行业特点依法明确符合条件的代建单位及代建方式。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四、双方职责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代建单位负责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项目建设管理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的相关事宜，项目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业主单位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负责项目跟踪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bookmark9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代建合同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业主单位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和代建单位应当签订委托代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合同，在委托代建合同中明确约定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项目业主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、代建单位等各方的权利和义务、委托代建内容、项目总投资、工程质量标准、工期要求、价款及支付方式、代建管理费、资产及档案移交、违约责任等条款。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需在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代建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合同中明确款项支付凭证（票据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由实施单位出具给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业主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单位，由代建单位按项目逐个开展资金管理和账务处理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项目资产及档案移交时相关财务档案一并移交。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六、</w:t>
      </w:r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代建管理费确定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代建管理费根据代建内容和要求，按照项目建设管理费标准核定，计入项目成本。实行代建制管理的项目，一般不得同时列支代建管理费和项目建设管理费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确需同时发生的，两项费用之和不得高于按规定计算的项目建设管理费限额。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footerReference r:id="rId3" w:type="default"/>
          <w:pgSz w:w="11900" w:h="16840"/>
          <w:pgMar w:top="2051" w:right="1423" w:bottom="1995" w:left="1555" w:header="0" w:footer="3" w:gutter="0"/>
          <w:pgNumType w:fmt="numberInDash"/>
          <w:cols w:space="720" w:num="1"/>
          <w:docGrid w:linePitch="360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项目建设单位管理费按照发改部门批复的概算总投资（经批 准的动态投资，不含项目建设管理费）扣除土地征用、迁移补偿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等为取得或租用土地使用权而发生的费用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为基数，分档计算确定。具体计算方法见附件《项目建设管理费总额控制数费率表》。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代建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项目资金拨付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业主单位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根据年度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政府投资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预算向县财政局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 w:eastAsia="zh-TW"/>
        </w:rPr>
        <w:t>财政局根据当年财政预算安排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 w:eastAsia="zh-CN"/>
        </w:rPr>
        <w:t>和代建合同约定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 w:eastAsia="zh-TW"/>
        </w:rPr>
        <w:t>，将资金拨付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 w:eastAsia="zh-CN"/>
        </w:rPr>
        <w:t>至项目业主单位。业主单位可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/>
        </w:rPr>
        <w:t>根据代建单位签字盖章的工程量清单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 w:eastAsia="zh-TW"/>
        </w:rPr>
        <w:t>结合工程进度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/>
        </w:rPr>
        <w:t>拨付到项目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TW" w:eastAsia="zh-CN"/>
        </w:rPr>
        <w:t>；业主单位也可分批预拨至代建单位进行支付。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、</w:t>
      </w:r>
      <w:bookmarkStart w:id="1" w:name="bookmark12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代建管理费拨付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代建管理费由项目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业主单位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凭代建单位开具的发票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和进度支付。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代建管理费核定和支付应当综合考虑工程进度、建设质量等因素, 按比例支付。项目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业主单位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根据代建合同约定，开工阶段凭《施工许可证》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《开工令》支付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签约合同价的60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工程竣工验收后支付至合同价90%，项目竣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工财务决算报告经审核批复后支付剩余10%。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细则</w:t>
      </w:r>
      <w:r>
        <w:rPr>
          <w:rFonts w:hint="eastAsia" w:ascii="黑体" w:hAnsi="黑体" w:eastAsia="黑体" w:cs="黑体"/>
          <w:sz w:val="32"/>
          <w:szCs w:val="32"/>
        </w:rPr>
        <w:t>自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 月 日</w:t>
      </w:r>
      <w:r>
        <w:rPr>
          <w:rFonts w:hint="eastAsia" w:ascii="黑体" w:hAnsi="黑体" w:eastAsia="黑体" w:cs="黑体"/>
          <w:sz w:val="32"/>
          <w:szCs w:val="32"/>
        </w:rPr>
        <w:t>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施</w:t>
      </w:r>
      <w:r>
        <w:rPr>
          <w:rFonts w:hint="eastAsia" w:ascii="黑体" w:hAnsi="黑体" w:eastAsia="黑体" w:cs="黑体"/>
          <w:sz w:val="32"/>
          <w:szCs w:val="32"/>
        </w:rPr>
        <w:t>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庆元县发展和改革局 庆元县财政局 庆元县人民政府国有资产监督管理办公室关于印发&lt;庆元县政府投资投资项目代建操作细则（暂行）&gt;的通知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庆财建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[2022]62号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项目建设管理费总额控制数费率表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both"/>
        <w:textAlignment w:val="auto"/>
        <w:rPr>
          <w:rFonts w:ascii="仿宋" w:hAnsi="仿宋" w:eastAsia="仿宋" w:cs="仿宋"/>
          <w:sz w:val="32"/>
          <w:szCs w:val="32"/>
          <w:lang w:eastAsia="zh-CN"/>
        </w:rPr>
        <w:sectPr>
          <w:footerReference r:id="rId4" w:type="default"/>
          <w:type w:val="continuous"/>
          <w:pgSz w:w="11900" w:h="16840"/>
          <w:pgMar w:top="2051" w:right="1423" w:bottom="1995" w:left="1555" w:header="1623" w:footer="1567" w:gutter="0"/>
          <w:pgNumType w:fmt="numberInDash"/>
          <w:cols w:space="720" w:num="1"/>
          <w:docGrid w:linePitch="360" w:charSpace="0"/>
        </w:sectPr>
      </w:pPr>
    </w:p>
    <w:p>
      <w:pPr>
        <w:jc w:val="left"/>
        <w:outlineLvl w:val="2"/>
        <w:rPr>
          <w:rFonts w:hint="eastAsia" w:ascii="黑体" w:hAnsi="黑体" w:eastAsia="黑体" w:cs="方正大标宋简体"/>
          <w:sz w:val="32"/>
          <w:szCs w:val="32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附件1</w:t>
      </w:r>
    </w:p>
    <w:p>
      <w:pPr>
        <w:rPr>
          <w:rFonts w:ascii="仿宋" w:hAnsi="仿宋" w:eastAsia="仿宋" w:cs="仿宋"/>
          <w:lang w:eastAsia="zh-CN"/>
        </w:rPr>
      </w:pPr>
    </w:p>
    <w:tbl>
      <w:tblPr>
        <w:tblStyle w:val="3"/>
        <w:tblpPr w:leftFromText="180" w:rightFromText="180" w:vertAnchor="text" w:horzAnchor="page" w:tblpX="1552" w:tblpY="135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"/>
        <w:gridCol w:w="2394"/>
        <w:gridCol w:w="1236"/>
        <w:gridCol w:w="1353"/>
        <w:gridCol w:w="3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1920" w:firstLineChars="60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eastAsia="zh-TW"/>
              </w:rPr>
              <w:t>项目建设管理费总额控制数费率表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仿宋" w:hAnsi="仿宋" w:eastAsia="仿宋" w:cs="宋体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TW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239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TW"/>
              </w:rPr>
              <w:t>工程总概算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TW"/>
              </w:rPr>
              <w:t>费率（</w:t>
            </w:r>
            <w:r>
              <w:rPr>
                <w:rFonts w:ascii="仿宋" w:hAnsi="仿宋" w:eastAsia="仿宋" w:cs="宋体"/>
                <w:color w:val="auto"/>
                <w:lang w:eastAsia="zh-TW"/>
              </w:rPr>
              <w:t>%</w:t>
            </w:r>
            <w:r>
              <w:rPr>
                <w:rFonts w:hint="eastAsia" w:ascii="仿宋" w:hAnsi="仿宋" w:eastAsia="仿宋" w:cs="宋体"/>
                <w:color w:val="auto"/>
                <w:lang w:eastAsia="zh-TW"/>
              </w:rPr>
              <w:t>）</w:t>
            </w:r>
          </w:p>
        </w:tc>
        <w:tc>
          <w:tcPr>
            <w:tcW w:w="51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TW"/>
              </w:rPr>
              <w:t>算例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239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1000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万以下</w:t>
            </w:r>
          </w:p>
        </w:tc>
        <w:tc>
          <w:tcPr>
            <w:tcW w:w="123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TW"/>
              </w:rPr>
              <w:t>1000</w:t>
            </w:r>
          </w:p>
        </w:tc>
        <w:tc>
          <w:tcPr>
            <w:tcW w:w="378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TW"/>
              </w:rPr>
              <w:t>1000*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2</w:t>
            </w:r>
            <w:r>
              <w:rPr>
                <w:rFonts w:ascii="仿宋" w:hAnsi="仿宋" w:eastAsia="仿宋" w:cs="宋体"/>
                <w:color w:val="auto"/>
                <w:lang w:eastAsia="zh-TW"/>
              </w:rPr>
              <w:t>%=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239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1001-5000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1.5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TW"/>
              </w:rPr>
              <w:t>5000</w:t>
            </w:r>
          </w:p>
        </w:tc>
        <w:tc>
          <w:tcPr>
            <w:tcW w:w="378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20+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（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5000-1000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）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*1.5%=80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239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5001-10000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1.2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10000</w:t>
            </w:r>
          </w:p>
        </w:tc>
        <w:tc>
          <w:tcPr>
            <w:tcW w:w="378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80+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（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10000-5000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）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*1.2%=140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239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10001-50000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TW"/>
              </w:rPr>
              <w:t>1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50000</w:t>
            </w:r>
          </w:p>
        </w:tc>
        <w:tc>
          <w:tcPr>
            <w:tcW w:w="378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140+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（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50000-10000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）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*1%=540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239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50001-100000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0.8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TW"/>
              </w:rPr>
              <w:t>100000</w:t>
            </w:r>
          </w:p>
        </w:tc>
        <w:tc>
          <w:tcPr>
            <w:tcW w:w="378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540+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（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100000-50000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）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*0.8%=940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cs="宋体"/>
                <w:color w:val="auto"/>
                <w:lang w:eastAsia="zh-CN"/>
              </w:rPr>
            </w:pPr>
          </w:p>
        </w:tc>
        <w:tc>
          <w:tcPr>
            <w:tcW w:w="2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TW"/>
              </w:rPr>
              <w:t>100000</w:t>
            </w:r>
            <w:r>
              <w:rPr>
                <w:rFonts w:hint="eastAsia" w:ascii="仿宋" w:hAnsi="仿宋" w:eastAsia="仿宋" w:cs="宋体"/>
                <w:color w:val="auto"/>
                <w:lang w:eastAsia="zh-TW"/>
              </w:rPr>
              <w:t>以上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0.4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TW"/>
              </w:rPr>
              <w:t>200000</w:t>
            </w:r>
          </w:p>
        </w:tc>
        <w:tc>
          <w:tcPr>
            <w:tcW w:w="3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lang w:eastAsia="zh-CN"/>
              </w:rPr>
              <w:t>940+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（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200000-100000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）</w:t>
            </w:r>
            <w:r>
              <w:rPr>
                <w:rFonts w:ascii="仿宋" w:hAnsi="仿宋" w:eastAsia="仿宋" w:cs="宋体"/>
                <w:color w:val="auto"/>
                <w:lang w:eastAsia="zh-CN"/>
              </w:rPr>
              <w:t>*0.4%=1340</w:t>
            </w:r>
          </w:p>
        </w:tc>
      </w:tr>
    </w:tbl>
    <w:p>
      <w:pPr>
        <w:rPr>
          <w:rFonts w:ascii="仿宋" w:hAnsi="仿宋" w:eastAsia="仿宋" w:cs="仿宋"/>
          <w:lang w:eastAsia="zh-CN"/>
        </w:rPr>
        <w:sectPr>
          <w:pgSz w:w="11900" w:h="16840"/>
          <w:pgMar w:top="2271" w:right="1424" w:bottom="2263" w:left="1534" w:header="1843" w:footer="1835" w:gutter="0"/>
          <w:pgNumType w:fmt="numberInDash"/>
          <w:cols w:space="720" w:num="1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mRjYThiNzlhMDEzYzYxYWMwNDI5OTZlNzU3YzIifQ=="/>
  </w:docVars>
  <w:rsids>
    <w:rsidRoot w:val="55B901DD"/>
    <w:rsid w:val="40E83CFD"/>
    <w:rsid w:val="55B901DD"/>
    <w:rsid w:val="643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  <w:style w:type="paragraph" w:customStyle="1" w:styleId="6">
    <w:name w:val="Body text|1"/>
    <w:basedOn w:val="1"/>
    <w:autoRedefine/>
    <w:qFormat/>
    <w:uiPriority w:val="99"/>
    <w:pPr>
      <w:spacing w:line="420" w:lineRule="auto"/>
      <w:ind w:firstLine="400"/>
    </w:pPr>
    <w:rPr>
      <w:rFonts w:ascii="宋体" w:hAnsi="宋体" w:cs="宋体"/>
      <w:color w:val="auto"/>
      <w:kern w:val="2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2024-03-14T01:02:00Z</dcterms:created>
  <dc:creator>尤陆燕</dc:creator>
  <cp:lastModifiedBy>rwj</cp:lastModifiedBy>
  <dcterms:modified xsi:type="dcterms:W3CDTF">2024-03-15T08:16:23Z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DE00E20057DE4283B8876CB2EBD73ACB_12</vt:lpwstr>
  </property>
</Properties>
</file>