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66088">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黑体" w:hAnsi="黑体" w:eastAsia="黑体" w:cs="黑体"/>
          <w:i w:val="0"/>
          <w:iCs w:val="0"/>
          <w:caps w:val="0"/>
          <w:color w:val="474747"/>
          <w:spacing w:val="0"/>
          <w:sz w:val="32"/>
          <w:szCs w:val="32"/>
          <w:shd w:val="clear" w:fill="FFFFFF"/>
          <w:lang w:val="en-US" w:eastAsia="zh-CN"/>
        </w:rPr>
      </w:pPr>
      <w:r>
        <w:rPr>
          <w:rFonts w:hint="eastAsia" w:ascii="黑体" w:hAnsi="黑体" w:eastAsia="黑体" w:cs="黑体"/>
          <w:i w:val="0"/>
          <w:iCs w:val="0"/>
          <w:caps w:val="0"/>
          <w:color w:val="474747"/>
          <w:spacing w:val="0"/>
          <w:sz w:val="32"/>
          <w:szCs w:val="32"/>
          <w:shd w:val="clear" w:fill="FFFFFF"/>
          <w:lang w:val="en-US" w:eastAsia="zh-CN"/>
        </w:rPr>
        <w:t>附件1</w:t>
      </w:r>
    </w:p>
    <w:p w14:paraId="1CB8953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color w:val="111F2C"/>
          <w:sz w:val="44"/>
          <w:szCs w:val="44"/>
          <w:shd w:val="clear" w:color="auto" w:fill="FFFFFF"/>
          <w:lang w:val="en-US" w:eastAsia="zh-CN"/>
        </w:rPr>
      </w:pPr>
    </w:p>
    <w:p w14:paraId="021DBF8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color w:val="111F2C"/>
          <w:sz w:val="44"/>
          <w:szCs w:val="44"/>
          <w:shd w:val="clear" w:color="auto" w:fill="FFFFFF"/>
          <w:lang w:val="en-US" w:eastAsia="zh-CN"/>
        </w:rPr>
      </w:pPr>
      <w:r>
        <w:rPr>
          <w:rFonts w:hint="eastAsia" w:ascii="方正小标宋简体" w:hAnsi="黑体" w:eastAsia="方正小标宋简体" w:cs="Times New Roman"/>
          <w:color w:val="111F2C"/>
          <w:sz w:val="44"/>
          <w:szCs w:val="44"/>
          <w:shd w:val="clear" w:color="auto" w:fill="FFFFFF"/>
          <w:lang w:val="en-US" w:eastAsia="zh-CN"/>
        </w:rPr>
        <w:t>《关于调整城市化管理区域的通告》</w:t>
      </w:r>
    </w:p>
    <w:p w14:paraId="7FA7378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Times New Roman"/>
          <w:color w:val="auto"/>
          <w:sz w:val="44"/>
          <w:szCs w:val="44"/>
          <w:shd w:val="clear" w:color="auto" w:fill="FFFFFF"/>
          <w:lang w:val="en-US" w:eastAsia="zh-CN"/>
        </w:rPr>
      </w:pPr>
      <w:r>
        <w:rPr>
          <w:rFonts w:hint="eastAsia" w:ascii="方正小标宋简体" w:hAnsi="黑体" w:eastAsia="方正小标宋简体" w:cs="Times New Roman"/>
          <w:color w:val="auto"/>
          <w:sz w:val="44"/>
          <w:szCs w:val="44"/>
          <w:shd w:val="clear" w:color="auto" w:fill="FFFFFF"/>
          <w:lang w:val="en-US" w:eastAsia="zh-CN"/>
        </w:rPr>
        <w:t>的起草说明</w:t>
      </w:r>
    </w:p>
    <w:p w14:paraId="088160A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111F2C"/>
          <w:sz w:val="32"/>
          <w:szCs w:val="32"/>
          <w:shd w:val="clear" w:color="auto" w:fill="FFFFFF"/>
          <w:lang w:val="en-US" w:eastAsia="zh-CN"/>
        </w:rPr>
      </w:pPr>
    </w:p>
    <w:p w14:paraId="0486095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color w:val="111F2C"/>
          <w:sz w:val="32"/>
          <w:szCs w:val="32"/>
          <w:shd w:val="clear" w:color="auto" w:fill="FFFFFF"/>
          <w:lang w:val="en-US" w:eastAsia="zh-CN"/>
        </w:rPr>
      </w:pPr>
      <w:r>
        <w:rPr>
          <w:rFonts w:hint="eastAsia" w:ascii="黑体" w:hAnsi="黑体" w:eastAsia="黑体" w:cs="黑体"/>
          <w:color w:val="111F2C"/>
          <w:sz w:val="32"/>
          <w:szCs w:val="32"/>
          <w:shd w:val="clear" w:color="auto" w:fill="FFFFFF"/>
          <w:lang w:val="en-US" w:eastAsia="zh-CN"/>
        </w:rPr>
        <w:t>起草背景</w:t>
      </w:r>
    </w:p>
    <w:p w14:paraId="5CBAC7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lang w:val="en-US" w:eastAsia="zh-CN"/>
        </w:rPr>
      </w:pPr>
      <w:r>
        <w:rPr>
          <w:rFonts w:hint="eastAsia" w:ascii="仿宋_GB2312" w:hAnsi="仿宋_GB2312" w:eastAsia="仿宋_GB2312" w:cs="仿宋_GB2312"/>
          <w:lang w:val="en-US" w:eastAsia="zh-CN"/>
        </w:rPr>
        <w:t>《诸暨市人民政府关于实行城市化管理区域的通告》（诸政发〔2022〕18号）于2022年诸暨市综合行政执法局牵头拟定并经市政府常务会议审议通过后于2022年9月1日起施行。但近年来，随着城市建设发展，部分新开发区域未纳入城市化管理区域范围，导致《浙江省城市市容和环境卫生管理条例》相关法条无法适用。</w:t>
      </w:r>
      <w:r>
        <w:rPr>
          <w:rFonts w:hint="eastAsia" w:ascii="仿宋_GB2312" w:hAnsi="仿宋_GB2312" w:cs="仿宋_GB2312"/>
          <w:lang w:val="en-US" w:eastAsia="zh-CN"/>
        </w:rPr>
        <w:t>特别是《绍兴市人民政府关于进一步加强全生命周期管理推动城市高质量发展的指导意见》要求调整优化实行城市化管理区域范围，实现城市发展与国土空间规划相衔接，为此特别制订了《关于调整城市化管理区域的通告》（以下简称《通告》）。</w:t>
      </w:r>
    </w:p>
    <w:p w14:paraId="690EE9B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0"/>
        <w:textAlignment w:val="auto"/>
        <w:rPr>
          <w:rFonts w:hint="eastAsia" w:ascii="黑体" w:hAnsi="黑体" w:eastAsia="黑体" w:cs="黑体"/>
          <w:lang w:val="en-US" w:eastAsia="zh-CN"/>
        </w:rPr>
      </w:pPr>
      <w:r>
        <w:rPr>
          <w:rFonts w:hint="eastAsia" w:ascii="黑体" w:hAnsi="黑体" w:eastAsia="黑体" w:cs="黑体"/>
          <w:lang w:val="en-US" w:eastAsia="zh-CN"/>
        </w:rPr>
        <w:t>主要内容</w:t>
      </w:r>
    </w:p>
    <w:p w14:paraId="0C7224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111F2C"/>
          <w:kern w:val="2"/>
          <w:sz w:val="32"/>
          <w:szCs w:val="32"/>
          <w:shd w:val="clear" w:color="auto" w:fill="FFFFFF"/>
          <w:lang w:val="en-US" w:eastAsia="zh-CN" w:bidi="ar"/>
        </w:rPr>
      </w:pPr>
      <w:r>
        <w:rPr>
          <w:rFonts w:hint="eastAsia" w:ascii="仿宋_GB2312" w:hAnsi="仿宋_GB2312" w:eastAsia="仿宋_GB2312" w:cs="仿宋_GB2312"/>
          <w:color w:val="111F2C"/>
          <w:kern w:val="2"/>
          <w:sz w:val="32"/>
          <w:szCs w:val="32"/>
          <w:shd w:val="clear" w:color="auto" w:fill="FFFFFF"/>
          <w:lang w:val="en-US" w:eastAsia="zh-CN" w:bidi="ar"/>
        </w:rPr>
        <w:t>《</w:t>
      </w:r>
      <w:r>
        <w:rPr>
          <w:rFonts w:hint="eastAsia" w:ascii="仿宋_GB2312" w:hAnsi="仿宋_GB2312" w:cs="仿宋_GB2312"/>
          <w:color w:val="111F2C"/>
          <w:kern w:val="2"/>
          <w:sz w:val="32"/>
          <w:szCs w:val="32"/>
          <w:shd w:val="clear" w:color="auto" w:fill="FFFFFF"/>
          <w:lang w:val="en-US" w:eastAsia="zh-CN" w:bidi="ar"/>
        </w:rPr>
        <w:t>通告</w:t>
      </w:r>
      <w:r>
        <w:rPr>
          <w:rFonts w:hint="eastAsia" w:ascii="仿宋_GB2312" w:hAnsi="仿宋_GB2312" w:eastAsia="仿宋_GB2312" w:cs="仿宋_GB2312"/>
          <w:color w:val="111F2C"/>
          <w:kern w:val="2"/>
          <w:sz w:val="32"/>
          <w:szCs w:val="32"/>
          <w:shd w:val="clear" w:color="auto" w:fill="FFFFFF"/>
          <w:lang w:val="en-US" w:eastAsia="zh-CN" w:bidi="ar"/>
        </w:rPr>
        <w:t>》主要分为</w:t>
      </w:r>
      <w:r>
        <w:rPr>
          <w:rFonts w:hint="eastAsia" w:ascii="仿宋_GB2312" w:hAnsi="仿宋_GB2312" w:cs="仿宋_GB2312"/>
          <w:color w:val="111F2C"/>
          <w:kern w:val="2"/>
          <w:sz w:val="32"/>
          <w:szCs w:val="32"/>
          <w:shd w:val="clear" w:color="auto" w:fill="FFFFFF"/>
          <w:lang w:val="en-US" w:eastAsia="zh-CN" w:bidi="ar"/>
        </w:rPr>
        <w:t>四部分</w:t>
      </w:r>
      <w:r>
        <w:rPr>
          <w:rFonts w:hint="eastAsia" w:ascii="仿宋_GB2312" w:hAnsi="仿宋_GB2312" w:eastAsia="仿宋_GB2312" w:cs="仿宋_GB2312"/>
          <w:color w:val="111F2C"/>
          <w:kern w:val="2"/>
          <w:sz w:val="32"/>
          <w:szCs w:val="32"/>
          <w:shd w:val="clear" w:color="auto" w:fill="FFFFFF"/>
          <w:lang w:val="en-US" w:eastAsia="zh-CN" w:bidi="ar"/>
        </w:rPr>
        <w:t>内容：</w:t>
      </w:r>
    </w:p>
    <w:p w14:paraId="13070084">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lang w:val="en-US" w:eastAsia="zh-CN"/>
        </w:rPr>
      </w:pPr>
      <w:r>
        <w:rPr>
          <w:rFonts w:hint="eastAsia"/>
          <w:lang w:val="en-US" w:eastAsia="zh-CN"/>
        </w:rPr>
        <w:t>第一部分为城市化管理区域的定义，是指本市行政区域内实际已成片开发建设，市政公用设施和城市服务已基本具备的建成区域。</w:t>
      </w:r>
    </w:p>
    <w:p w14:paraId="1432A8E0">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第二部分为我市调整城市化管理区域的范围，暨阳街道、浣东街道、</w:t>
      </w:r>
      <w:r>
        <w:rPr>
          <w:rFonts w:hint="eastAsia" w:cs="Times New Roman"/>
          <w:lang w:val="en-US" w:eastAsia="zh-CN"/>
        </w:rPr>
        <w:t>陶朱街道、</w:t>
      </w:r>
      <w:r>
        <w:rPr>
          <w:rFonts w:hint="eastAsia" w:ascii="Times New Roman" w:hAnsi="Times New Roman" w:cs="Times New Roman"/>
          <w:lang w:val="en-US" w:eastAsia="zh-CN"/>
        </w:rPr>
        <w:t>应店街镇、岭北镇</w:t>
      </w:r>
      <w:r>
        <w:rPr>
          <w:rFonts w:hint="eastAsia" w:cs="Times New Roman"/>
          <w:lang w:val="en-US" w:eastAsia="zh-CN"/>
        </w:rPr>
        <w:t>城市化管理</w:t>
      </w:r>
      <w:r>
        <w:rPr>
          <w:rFonts w:hint="eastAsia" w:ascii="Times New Roman" w:hAnsi="Times New Roman" w:cs="Times New Roman"/>
          <w:lang w:val="en-US" w:eastAsia="zh-CN"/>
        </w:rPr>
        <w:t>区域进行了调整，其余镇乡街道范围不变。</w:t>
      </w:r>
    </w:p>
    <w:p w14:paraId="6D23A9C0">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lang w:val="en-US" w:eastAsia="zh-CN"/>
        </w:rPr>
      </w:pPr>
      <w:r>
        <w:rPr>
          <w:rFonts w:hint="eastAsia"/>
          <w:lang w:val="en-US" w:eastAsia="zh-CN"/>
        </w:rPr>
        <w:t>第三部分为特殊说明，实行城市化管理区域范围，不包括上述地区里的林地、山地、基本农田以及非城（镇）区段公路。城市化管理区域外沿以路网中间为边界。</w:t>
      </w:r>
    </w:p>
    <w:p w14:paraId="65F3EF6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第四部分为《通告》实行时间。</w:t>
      </w:r>
    </w:p>
    <w:p w14:paraId="005CE766">
      <w:pPr>
        <w:pStyle w:val="2"/>
        <w:rPr>
          <w:rFonts w:hint="eastAsia"/>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16C5E5"/>
    <w:multiLevelType w:val="singleLevel"/>
    <w:tmpl w:val="2C16C5E5"/>
    <w:lvl w:ilvl="0" w:tentative="0">
      <w:start w:val="1"/>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D270F"/>
    <w:rsid w:val="02A44253"/>
    <w:rsid w:val="04033516"/>
    <w:rsid w:val="06093C61"/>
    <w:rsid w:val="08934724"/>
    <w:rsid w:val="0D645742"/>
    <w:rsid w:val="19AD270F"/>
    <w:rsid w:val="1BA153E4"/>
    <w:rsid w:val="291754C0"/>
    <w:rsid w:val="322A42A7"/>
    <w:rsid w:val="39D60851"/>
    <w:rsid w:val="3BF375EE"/>
    <w:rsid w:val="3E573142"/>
    <w:rsid w:val="430878B6"/>
    <w:rsid w:val="4A020759"/>
    <w:rsid w:val="4A61284F"/>
    <w:rsid w:val="4C9B323D"/>
    <w:rsid w:val="54680B80"/>
    <w:rsid w:val="615B64F4"/>
    <w:rsid w:val="620E510C"/>
    <w:rsid w:val="63D00937"/>
    <w:rsid w:val="64046A5C"/>
    <w:rsid w:val="6D39225F"/>
    <w:rsid w:val="6E5F00A3"/>
    <w:rsid w:val="71594E1B"/>
    <w:rsid w:val="71C26F00"/>
    <w:rsid w:val="76E91124"/>
    <w:rsid w:val="7A1208F7"/>
    <w:rsid w:val="FB558C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6">
    <w:name w:val="bjh-p"/>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2263</Words>
  <Characters>2310</Characters>
  <Lines>0</Lines>
  <Paragraphs>0</Paragraphs>
  <TotalTime>10</TotalTime>
  <ScaleCrop>false</ScaleCrop>
  <LinksUpToDate>false</LinksUpToDate>
  <CharactersWithSpaces>2351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2025-03-28T09:45:00Z</dcterms:created>
  <dc:creator>戚永昶</dc:creator>
  <cp:lastModifiedBy>173----3830</cp:lastModifiedBy>
  <dcterms:modified xsi:type="dcterms:W3CDTF">2025-04-01T09:05:17Z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D3A8F97C1B4E4206870635F6F5D9BEE7</vt:lpwstr>
  </property>
  <property fmtid="{D5CDD505-2E9C-101B-9397-08002B2CF9AE}" pid="4" name="KSOTemplateDocerSaveRecord">
    <vt:lpwstr>eyJoZGlkIjoiYTE3N2RkNjVmYTc3Y2Y1NzY5NDI2YjBjMDMxMGI2NWUiLCJ1c2VySWQiOiIxNTgwNzQ3MjQ3In0=</vt:lpwstr>
  </property>
</Properties>
</file>