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松阳县茶产业高质量发展扶持办法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为贯彻落实习近平总书记关于“三茶统筹”发展的重要指示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茶产业“链长制”工作的总体目标，深入实施茶产业链提升工程，重点在茶产业延链、补链、强链上下功夫，推动茶产业绿色高质量发展，持续擦亮“中国有机茶乡”金名片，特制定本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做优茶基地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（一）建设生态低碳茶园。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推进茶叶规模种植，在新建茶园中规划建设隔离带、防护林、生态功能带等生态防护措施，提高生物多样性，增强茶园生态系统稳定性，新建连片面积达50亩以上，经验收合格的给予每亩一次性奖励2000元。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（二）推进有机茶基地建设。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创建一批化学肥药零投入茶园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对执行有机茶生产主体</w:t>
      </w:r>
      <w:r>
        <w:rPr>
          <w:rFonts w:hint="default" w:ascii="仿宋_GB2312" w:hAnsi="仿宋_GB2312" w:eastAsia="仿宋_GB2312" w:cs="仿宋_GB2312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基地</w:t>
      </w:r>
      <w:r>
        <w:rPr>
          <w:rFonts w:hint="default" w:ascii="仿宋_GB2312" w:hAnsi="仿宋_GB2312" w:eastAsia="仿宋_GB2312" w:cs="仿宋_GB2312"/>
          <w:sz w:val="32"/>
          <w:szCs w:val="32"/>
        </w:rPr>
        <w:t>规模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每年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给予不同的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：单个基地面积100亩以下的每亩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200元；100亩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(含）以上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每亩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300元；300亩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（含）以上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每亩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400元；500亩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的每亩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500元。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鼓励基地进行有机认证，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初次取得有机认证（含转换认证)且次年持续认证的主体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2万元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复认证的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减半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（三）加快特色品种选育。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特色新品种选育，以“松”字冠名进行新品种登记，对新取得国</w:t>
      </w:r>
      <w:r>
        <w:rPr>
          <w:rFonts w:hint="eastAsia" w:ascii="仿宋_GB2312" w:hAnsi="仿宋_GB2312" w:eastAsia="仿宋_GB2312" w:cs="仿宋_GB2312"/>
          <w:sz w:val="32"/>
          <w:szCs w:val="32"/>
        </w:rPr>
        <w:t>家茶树新品种登记证书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每个15万元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推广银猴茶品种，连片种植面积在5亩以上的，给予每年200元/亩奖励;列入银猴茶核心保护区的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每年1000元/亩奖励。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做深茶加工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（四）提升初制茶厂。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对初次取得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SC</w:t>
      </w:r>
      <w:r>
        <w:rPr>
          <w:rFonts w:hint="eastAsia" w:ascii="仿宋_GB2312" w:hAnsi="仿宋_GB2312" w:eastAsia="仿宋_GB2312" w:cs="仿宋_GB2312"/>
          <w:sz w:val="32"/>
          <w:szCs w:val="32"/>
        </w:rPr>
        <w:t>证的主体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3万元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，延续换证通过现场审查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2万元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对已进行计划申报，并在取证当年开展加工环境设施改造、规范化提升建设且投资总额达5万元以上的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按审定投资总额的30%给予奖励，最高奖励限额30万元。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（五）培育有机茶加工厂。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鼓励有条件的生产企业进行有机认证，采取订单、合同、股份等形式带动小农户进行有机茶加工，实现提质增效。给予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加工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产品通过有机认证</w:t>
      </w:r>
      <w:r>
        <w:rPr>
          <w:rFonts w:hint="eastAsia" w:ascii="仿宋_GB2312" w:hAnsi="仿宋_GB2312" w:eastAsia="仿宋_GB2312" w:cs="仿宋_GB2312"/>
          <w:sz w:val="32"/>
          <w:szCs w:val="32"/>
        </w:rPr>
        <w:t>的主体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复认证奖励减半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有机茶加工主体联结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有机茶</w:t>
      </w:r>
      <w:r>
        <w:rPr>
          <w:rFonts w:hint="eastAsia" w:ascii="仿宋_GB2312" w:hAnsi="仿宋_GB2312" w:eastAsia="仿宋_GB2312" w:cs="仿宋_GB2312"/>
          <w:sz w:val="32"/>
          <w:szCs w:val="32"/>
        </w:rPr>
        <w:t>基地进行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</w:t>
      </w:r>
      <w:r>
        <w:rPr>
          <w:rFonts w:hint="eastAsia" w:ascii="仿宋_GB2312" w:hAnsi="仿宋_GB2312" w:eastAsia="仿宋_GB2312" w:cs="仿宋_GB2312"/>
          <w:sz w:val="32"/>
          <w:szCs w:val="32"/>
        </w:rPr>
        <w:t>加工的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按联结面积给予每亩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100元奖励。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-SA"/>
        </w:rPr>
        <w:t>（六）规范生产加工。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入驻小微园、国有企业、村集体建设的厂房的茶叶生产加工主体</w:t>
      </w:r>
      <w:r>
        <w:rPr>
          <w:rFonts w:hint="eastAsia" w:ascii="仿宋_GB2312" w:hAnsi="仿宋_GB2312" w:eastAsia="仿宋_GB2312" w:cs="仿宋_GB2312"/>
          <w:strike w:val="0"/>
          <w:dstrike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年度销售额达500万元、2000万元、5000万元、1亿元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给予租金（含物业）30%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50%、60%、80%的补助，每家企业每年不超过50万元，最多补助3年。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-SA"/>
        </w:rPr>
        <w:t>(七)支持新产品开发。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加大对茶叶衍生产品的开发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，对取得生产许可的企业开发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生产茶饮品、茶日用品、茶工艺品、含茶功能产品给予奖励，单个产品年销售额达10万元的，经审核后给予单品年销售额10%的一次性奖励，每家企业每年不超过30万元。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cs="黑体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黑体" w:hAnsi="黑体" w:cs="黑体"/>
          <w:sz w:val="32"/>
          <w:szCs w:val="32"/>
          <w:lang w:eastAsia="zh-CN"/>
        </w:rPr>
        <w:t>三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拓展茶销售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bookmarkStart w:id="0" w:name="OLE_LINK1"/>
      <w:r>
        <w:rPr>
          <w:rFonts w:hint="default" w:ascii="楷体_GB2312" w:hAnsi="楷体_GB2312" w:eastAsia="楷体_GB2312" w:cs="楷体_GB2312"/>
          <w:kern w:val="0"/>
          <w:sz w:val="32"/>
          <w:szCs w:val="32"/>
          <w:highlight w:val="none"/>
          <w:lang w:eastAsia="zh-CN" w:bidi="ar-SA"/>
        </w:rPr>
        <w:t xml:space="preserve">    （八）</w:t>
      </w:r>
      <w:bookmarkEnd w:id="0"/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-SA"/>
        </w:rPr>
        <w:t>拓宽线上销售。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鼓励茶叶线上销售，提高县域茶叶线上销售份额，对限上电商企业采购茶叶并取得县域内上游进项发票的，按发票金额的3%给予奖励，采购额以年度纳统销售额为上限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highlight w:val="none"/>
          <w:lang w:eastAsia="zh-CN" w:bidi="ar-SA"/>
        </w:rPr>
        <w:t xml:space="preserve">    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-SA"/>
        </w:rPr>
        <w:t>九）支持外出展示展销。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支持外出展示展销。对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参加政府、业务部门、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县级及以上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协（学）会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的各类展示、展销活动的主体给予展位费及装修费补助；对参展企业按县内、县外省内、省外、港澳台及国外分别给予0.1万元、0.5万元、1万元、2万元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；企业以特装展馆类形式参展，面积达到18平方米以上，给予场地租金及装修费用的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最高补助限额10万元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（十）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激励争先创优。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鼓励企业参加各级政府或业务部门、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县级及以上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协（学）会组织的与茶产业相关的各类比赛。对经审核的参评样品给予每千克茶样0.2万元补助；对获得政府、部门或协会颁发的茶产业相关荣誉（奖项）的单位、个人（财政供养人员除外）给予奖励。奖励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奖励标准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1702"/>
        <w:gridCol w:w="1550"/>
        <w:gridCol w:w="1250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59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  <w:t>奖励对象</w:t>
            </w:r>
          </w:p>
        </w:tc>
        <w:tc>
          <w:tcPr>
            <w:tcW w:w="5963" w:type="dxa"/>
            <w:gridSpan w:val="4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  <w:t>奖项级别/奖励标准（万元）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59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  <w:t>国家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  <w:t>省级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  <w:t>市级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  <w:t>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55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  <w:t>行政村、社会团体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5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  <w:t>企业、个人、产品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/>
              </w:rPr>
              <w:t>备注：奖项分等级的，最高奖予以全额奖励，第二等级奖励70%，第三等级奖励50%，其他等级奖励30%。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cs="黑体"/>
          <w:sz w:val="32"/>
          <w:szCs w:val="32"/>
          <w:lang w:eastAsia="zh-CN"/>
        </w:rPr>
        <w:t>四</w:t>
      </w:r>
      <w:r>
        <w:rPr>
          <w:rFonts w:hint="default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cs="黑体"/>
          <w:sz w:val="32"/>
          <w:szCs w:val="32"/>
          <w:lang w:eastAsia="zh-CN"/>
        </w:rPr>
        <w:t>创新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茶科技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-SA"/>
        </w:rPr>
        <w:t>（十一）支持产学研合作。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鼓励企业与科研机构、高等院校合作开展茶产业关键技术攻关和成果转化,对已进行计划申报立项的合作项目，项目实施完成并经评审验收后，按审定投资总额的30%给予补助，最高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补助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限额20万元。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-SA"/>
        </w:rPr>
        <w:t>（十二）加快数字应用。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提升茶叶生产和加工数字化、智能化水平，对名优茶智能化采摘、智慧茶园、智慧工厂建设及茶叶加工环节进行连续化、自动化、智能化建设或改造的给予奖励，投资总额达10万元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（含）以上并进行计划申报的，验收合格后按审定设备投资额的30%给予补助，最高补助限额300万元。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-SA"/>
        </w:rPr>
        <w:t>（十三）加强人才培育。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支持企业与国家级科研机构、高等院校合作建设产教融合站点，创建人才工作室，符合要求的按县级现行有关人才奖励政策执行。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</w:t>
      </w:r>
      <w:r>
        <w:rPr>
          <w:rFonts w:hint="eastAsia" w:ascii="仿宋_GB2312" w:hAnsi="仿宋_GB2312" w:eastAsia="仿宋_GB2312" w:cs="仿宋_GB2312"/>
          <w:sz w:val="32"/>
          <w:szCs w:val="32"/>
        </w:rPr>
        <w:t>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企事业单位人员（不含参公事业人员）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参与茶艺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、评茶等技能提升培训，取得中、高级资格证书后分别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给予个人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奖励1000元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2000元。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设立“松阳银猴”茶学奖学金，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每年评选出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15名优秀学生予以奖励，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博士生2个、硕士生3个、本科生5个、高职生5个，奖金分别为每人3万元、2万元、1万元、0.6万元。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cs="黑体"/>
          <w:sz w:val="32"/>
          <w:szCs w:val="32"/>
          <w:lang w:eastAsia="zh-CN"/>
        </w:rPr>
        <w:t>做强茶品牌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-SA"/>
        </w:rPr>
        <w:t>(十四）推广松阳茶品牌。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予运营管理协会每年20万元补助，给予推广松阳茶公用品牌统一包装的其他行业协会每年最高5万元补助。鼓励茶叶生产经营主体使用公版包装，对年度使用公版包装500套、1000套、5000套以上的分别给予包装金额30%、40%、50%的奖励。对规范使用“地理标志证明商标、保护产品”的包装主体，按包装金额的30%给予补助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大小包装单个版本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最高奖励不超过5万元，单个主体最高奖励不超过10万元。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-SA"/>
        </w:rPr>
        <w:t>（十五）鼓励打造茶空间。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持有营业执照、经营一年以上且符合下列条件的茶空间可参与“十佳”茶空间评选：在临街店面开设特色茶叶专营店，一楼店面面积在20平方米以上，主营茶叶特色明显、品牌知名的；开设茶馆、茶楼、茶室等面积在100平方米以上，宣传推广区域公用品牌等的茶空间，设置有展示展销专柜、有茶艺师驻守、有免费体验茶席、有免费试喝茶叶。定期组织开展“十佳”茶空间评选，对评选认定为“十佳”茶空间的给予2万元奖励，单个茶空间累计奖励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-SA"/>
        </w:rPr>
        <w:t>（十六）提升企业品牌文化。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创建企业品牌文化，营造</w:t>
      </w:r>
      <w:r>
        <w:rPr>
          <w:rFonts w:hint="eastAsia" w:ascii="仿宋_GB2312" w:hAnsi="仿宋_GB2312" w:eastAsia="仿宋_GB2312" w:cs="仿宋_GB2312"/>
          <w:sz w:val="32"/>
          <w:szCs w:val="32"/>
        </w:rPr>
        <w:t>茶文化氛围，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对茶叶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龙头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企业创建农文旅游购娱体验、企业文化装修等且投资总额达10万元以上，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设计方案已进行计划申报的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，验收后按审定投资总额的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0%补助，最高补助限额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0万元。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（十七）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生以下情况的，取消当年度奖补资格，对已享受的奖补资金予以收回：一是以虚假资料等骗取财政资金的；二是存在使用国家明确规定的禁限（停）用药物的严重违法行为的；三是生产经营的主要农产品连续3次检测不合格的；四是发生重大偷税行为、恶意虚开增值税专用发票被税务机关稽查处罚，或移送司法机关处理的；五是其他主管部门认定的不符合本政策奖补标准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（十八）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本办法自2025年  月  日起施行，原《松阳县创建“中国有机茶乡”扶持办法》（松政办发〔2023〕30号）同时废止。2025年度扶持政策按本办法执行，但本办法施行前，不符合本办法规定但符合原政策的，按原政策予以兑现。同一事项同时符合县级多项政策的，按照就高不重复享受原则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OGZiY2M1ZmQ5NGRiODU3MGY2ODExZmVkZDJiZTMifQ=="/>
  </w:docVars>
  <w:rsids>
    <w:rsidRoot w:val="56B5203D"/>
    <w:rsid w:val="008F537F"/>
    <w:rsid w:val="01036E84"/>
    <w:rsid w:val="03DF10F3"/>
    <w:rsid w:val="05C2422B"/>
    <w:rsid w:val="07D904C3"/>
    <w:rsid w:val="086A59C8"/>
    <w:rsid w:val="0A086615"/>
    <w:rsid w:val="0C4E6A0A"/>
    <w:rsid w:val="0CF45A5B"/>
    <w:rsid w:val="0E78085C"/>
    <w:rsid w:val="0F426828"/>
    <w:rsid w:val="0FA10A6D"/>
    <w:rsid w:val="10593269"/>
    <w:rsid w:val="10A60F23"/>
    <w:rsid w:val="131D79C0"/>
    <w:rsid w:val="16A86901"/>
    <w:rsid w:val="170A1F49"/>
    <w:rsid w:val="1903103D"/>
    <w:rsid w:val="1A2A3160"/>
    <w:rsid w:val="20242960"/>
    <w:rsid w:val="2036565F"/>
    <w:rsid w:val="23DD2494"/>
    <w:rsid w:val="2489332E"/>
    <w:rsid w:val="268D253B"/>
    <w:rsid w:val="272E3852"/>
    <w:rsid w:val="276A3B5A"/>
    <w:rsid w:val="27EB0C14"/>
    <w:rsid w:val="285E670B"/>
    <w:rsid w:val="28BD683B"/>
    <w:rsid w:val="28EB1A38"/>
    <w:rsid w:val="2927519A"/>
    <w:rsid w:val="298C33D3"/>
    <w:rsid w:val="2B693C21"/>
    <w:rsid w:val="2BAC70CD"/>
    <w:rsid w:val="2EC25B64"/>
    <w:rsid w:val="2FA04E43"/>
    <w:rsid w:val="307729F4"/>
    <w:rsid w:val="30954077"/>
    <w:rsid w:val="349B5252"/>
    <w:rsid w:val="350B657B"/>
    <w:rsid w:val="3D307C72"/>
    <w:rsid w:val="3DEB1FE5"/>
    <w:rsid w:val="3DFE3441"/>
    <w:rsid w:val="41345ED9"/>
    <w:rsid w:val="424122DA"/>
    <w:rsid w:val="4411391B"/>
    <w:rsid w:val="44DB6B26"/>
    <w:rsid w:val="44EB60E0"/>
    <w:rsid w:val="46261F1F"/>
    <w:rsid w:val="4635134A"/>
    <w:rsid w:val="46391AA6"/>
    <w:rsid w:val="47A81BD4"/>
    <w:rsid w:val="47F7394B"/>
    <w:rsid w:val="48010ED3"/>
    <w:rsid w:val="499A3A99"/>
    <w:rsid w:val="499E0470"/>
    <w:rsid w:val="4AA40096"/>
    <w:rsid w:val="4ABD0120"/>
    <w:rsid w:val="4B8A1FE1"/>
    <w:rsid w:val="51A45F0B"/>
    <w:rsid w:val="51F457E5"/>
    <w:rsid w:val="524B74FE"/>
    <w:rsid w:val="543E3443"/>
    <w:rsid w:val="547E28A9"/>
    <w:rsid w:val="54983DC9"/>
    <w:rsid w:val="54FF8FFD"/>
    <w:rsid w:val="55093AD0"/>
    <w:rsid w:val="56272C5E"/>
    <w:rsid w:val="56B5203D"/>
    <w:rsid w:val="59376704"/>
    <w:rsid w:val="5A7E3FDF"/>
    <w:rsid w:val="5C140687"/>
    <w:rsid w:val="5D1F1980"/>
    <w:rsid w:val="5E3C18F7"/>
    <w:rsid w:val="5FE12FBF"/>
    <w:rsid w:val="60943907"/>
    <w:rsid w:val="62373520"/>
    <w:rsid w:val="63012E32"/>
    <w:rsid w:val="6321792E"/>
    <w:rsid w:val="63292AA5"/>
    <w:rsid w:val="64CB0EE9"/>
    <w:rsid w:val="65F10827"/>
    <w:rsid w:val="65FBD3D7"/>
    <w:rsid w:val="6677704F"/>
    <w:rsid w:val="66CB4DC3"/>
    <w:rsid w:val="66E437FF"/>
    <w:rsid w:val="687063A4"/>
    <w:rsid w:val="6891382E"/>
    <w:rsid w:val="698A10A4"/>
    <w:rsid w:val="6A084620"/>
    <w:rsid w:val="6B2E6F89"/>
    <w:rsid w:val="6B7F2B30"/>
    <w:rsid w:val="6C791C04"/>
    <w:rsid w:val="6D1A178E"/>
    <w:rsid w:val="6DF81BEF"/>
    <w:rsid w:val="6EDC7BDE"/>
    <w:rsid w:val="6FFFDE02"/>
    <w:rsid w:val="700E4F3A"/>
    <w:rsid w:val="731A4B4C"/>
    <w:rsid w:val="73340FAE"/>
    <w:rsid w:val="73B836D6"/>
    <w:rsid w:val="73E20458"/>
    <w:rsid w:val="74026377"/>
    <w:rsid w:val="758D1F43"/>
    <w:rsid w:val="771526F5"/>
    <w:rsid w:val="79A229D7"/>
    <w:rsid w:val="79C3068B"/>
    <w:rsid w:val="7A0B5171"/>
    <w:rsid w:val="7A942596"/>
    <w:rsid w:val="7AFD30D7"/>
    <w:rsid w:val="7BCFA4E5"/>
    <w:rsid w:val="7BF63778"/>
    <w:rsid w:val="7C272B2A"/>
    <w:rsid w:val="7CA91615"/>
    <w:rsid w:val="7E625688"/>
    <w:rsid w:val="7ED43E98"/>
    <w:rsid w:val="7FE66CB0"/>
    <w:rsid w:val="7FFF2FEC"/>
    <w:rsid w:val="AFFF7CCD"/>
    <w:rsid w:val="BD37F395"/>
    <w:rsid w:val="BDDF4D11"/>
    <w:rsid w:val="BFCBD0D2"/>
    <w:rsid w:val="BFFE1F25"/>
    <w:rsid w:val="DEFF9EE5"/>
    <w:rsid w:val="EB46AEF5"/>
    <w:rsid w:val="EFED5F83"/>
    <w:rsid w:val="F77D0969"/>
    <w:rsid w:val="FAAF7854"/>
    <w:rsid w:val="FBF91D01"/>
    <w:rsid w:val="FFAFF45D"/>
    <w:rsid w:val="FFB28009"/>
    <w:rsid w:val="FFBCAC46"/>
    <w:rsid w:val="FFEF1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4">
    <w:name w:val="annotation text"/>
    <w:basedOn w:val="5"/>
    <w:qFormat/>
    <w:uiPriority w:val="0"/>
    <w:pPr>
      <w:jc w:val="left"/>
    </w:pPr>
  </w:style>
  <w:style w:type="paragraph" w:styleId="5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6">
    <w:name w:val="Body Text"/>
    <w:basedOn w:val="1"/>
    <w:qFormat/>
    <w:uiPriority w:val="0"/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3490</Words>
  <Characters>3588</Characters>
  <Lines>0</Lines>
  <Paragraphs>0</Paragraphs>
  <TotalTime>11</TotalTime>
  <ScaleCrop>false</ScaleCrop>
  <LinksUpToDate>false</LinksUpToDate>
  <CharactersWithSpaces>3628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2023-03-28T22:33:00Z</dcterms:created>
  <dc:creator>叶火香</dc:creator>
  <cp:lastModifiedBy>叶火香</cp:lastModifiedBy>
  <cp:lastPrinted>2025-03-13T20:13:00Z</cp:lastPrinted>
  <dcterms:modified xsi:type="dcterms:W3CDTF">2025-03-21T03:15:20Z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3E1DD87CEDFF4430B11D89DF34FF6F85</vt:lpwstr>
  </property>
</Properties>
</file>