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tbl>
      <w:tblPr>
        <w:tblStyle w:val="2"/>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6"/>
        <w:gridCol w:w="1337"/>
        <w:gridCol w:w="586"/>
        <w:gridCol w:w="8250"/>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4332"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right="0" w:rightChars="0" w:firstLine="1084" w:firstLineChars="300"/>
              <w:jc w:val="both"/>
              <w:textAlignment w:val="center"/>
              <w:outlineLvl w:val="9"/>
              <w:rPr>
                <w:rFonts w:hint="eastAsia" w:ascii="宋体" w:hAnsi="宋体" w:eastAsia="宋体" w:cs="宋体"/>
                <w:b/>
                <w:bCs w:val="0"/>
                <w:i w:val="0"/>
                <w:color w:val="000000"/>
                <w:sz w:val="36"/>
                <w:szCs w:val="36"/>
                <w:u w:val="none"/>
              </w:rPr>
            </w:pPr>
            <w:bookmarkStart w:id="0" w:name="_GoBack"/>
            <w:r>
              <w:rPr>
                <w:rFonts w:hint="eastAsia" w:ascii="宋体" w:hAnsi="宋体" w:eastAsia="宋体" w:cs="宋体"/>
                <w:b/>
                <w:bCs w:val="0"/>
                <w:i w:val="0"/>
                <w:color w:val="000000"/>
                <w:kern w:val="0"/>
                <w:sz w:val="36"/>
                <w:szCs w:val="36"/>
                <w:u w:val="none"/>
                <w:lang w:val="en-US" w:eastAsia="zh-CN" w:bidi="ar"/>
              </w:rPr>
              <w:t>柯桥区国有企业战略合作（资金竞争性存放）银行评分标准评分建议标准</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评价指标</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评价标准和评分方法</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审核依据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3" w:hRule="atLeast"/>
        </w:trPr>
        <w:tc>
          <w:tcPr>
            <w:tcW w:w="9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综合实力</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5分</w:t>
            </w:r>
            <w:r>
              <w:rPr>
                <w:rFonts w:hint="eastAsia" w:ascii="宋体" w:hAnsi="宋体" w:eastAsia="宋体" w:cs="宋体"/>
                <w:i w:val="0"/>
                <w:color w:val="000000"/>
                <w:sz w:val="21"/>
                <w:szCs w:val="21"/>
                <w:u w:val="none"/>
                <w:lang w:eastAsia="zh-CN"/>
              </w:rPr>
              <w:t>）</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支持经济发展考评</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上一年度：获得支持经济发展突出贡献集体得2分，获得其余先进的得1分</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柯桥区人民政府办公室关于柯桥区金融支持经济发展考评结果的通报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92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lang w:eastAsia="zh-CN"/>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人民银行上年度综合评价</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上一年度：A级3分，B级2分，其余为0分</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人民银行或者区金融办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92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信贷支持能力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（45</w:t>
            </w:r>
            <w:r>
              <w:rPr>
                <w:rStyle w:val="5"/>
                <w:rFonts w:hint="eastAsia" w:ascii="宋体" w:hAnsi="宋体" w:eastAsia="宋体" w:cs="宋体"/>
                <w:sz w:val="21"/>
                <w:szCs w:val="2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敞口融资余额</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截止遴选公告日，已为企业提供敞口融资（包括贷款、信用证、承兑保函、融资性票据等）的，以敞口融资余额最大者为基准值，其得满分9分，其他单位的得分统一按照下列公式计算：敞口融资余额得分=（敞口融资余额／基准值）×9</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敞口融资（包括贷款、信用证、承兑保函、融资性票据等）余额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1" w:hRule="atLeast"/>
        </w:trPr>
        <w:tc>
          <w:tcPr>
            <w:tcW w:w="926"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购买企业债券金额</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近三年，购买企业债券的，以购买企业债券金额最大者为基准值，其得满分7分，其他单位的得分统一按照下列公式计算：购买企业债券金额得分=（购买企业债券金额／基准值）×7（注：如企业未发行过债券的，此项评分指标取消，分值（7分）并入到敞口融资余额指标中，敞口融资余额指标调整为16分）</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购买企业债券金额证明材料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0" w:hRule="atLeast"/>
        </w:trPr>
        <w:tc>
          <w:tcPr>
            <w:tcW w:w="92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贷款利率浮动幅度</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已为企业提供贷款的，以贷款利率浮动幅度加权平均值最低的为基准值（贷款综合利率浮动幅度加权平均值为负数时同样适用），其得满分15分，其他单位的得分统一按照下列公式计算：</w:t>
            </w:r>
            <w:r>
              <w:rPr>
                <w:rFonts w:hint="eastAsia" w:ascii="宋体" w:hAnsi="宋体" w:eastAsia="宋体" w:cs="宋体"/>
                <w:i w:val="0"/>
                <w:color w:val="auto"/>
                <w:kern w:val="0"/>
                <w:sz w:val="21"/>
                <w:szCs w:val="21"/>
                <w:highlight w:val="none"/>
                <w:u w:val="none"/>
                <w:lang w:val="en-US" w:eastAsia="zh-CN" w:bidi="ar"/>
              </w:rPr>
              <w:t>基准利率模式：贷款利率得分=15-（贷款利率浮动幅度加权平均值-基准值）×</w:t>
            </w:r>
            <w:r>
              <w:rPr>
                <w:rFonts w:hint="eastAsia" w:ascii="宋体" w:hAnsi="宋体" w:eastAsia="宋体" w:cs="宋体"/>
                <w:b w:val="0"/>
                <w:bCs w:val="0"/>
                <w:i w:val="0"/>
                <w:color w:val="auto"/>
                <w:kern w:val="0"/>
                <w:sz w:val="21"/>
                <w:szCs w:val="21"/>
                <w:highlight w:val="none"/>
                <w:u w:val="none"/>
                <w:lang w:val="en-US" w:eastAsia="zh-CN" w:bidi="ar"/>
              </w:rPr>
              <w:t>(15/25)，LPR模式：</w:t>
            </w:r>
            <w:r>
              <w:rPr>
                <w:rFonts w:hint="eastAsia" w:ascii="宋体" w:hAnsi="宋体" w:eastAsia="宋体" w:cs="宋体"/>
                <w:i w:val="0"/>
                <w:color w:val="auto"/>
                <w:kern w:val="0"/>
                <w:sz w:val="21"/>
                <w:szCs w:val="21"/>
                <w:highlight w:val="none"/>
                <w:u w:val="none"/>
                <w:lang w:val="en-US" w:eastAsia="zh-CN" w:bidi="ar"/>
              </w:rPr>
              <w:t>贷款利率得分=15-（贷款利率浮动幅度加权平均值-基准值）×</w:t>
            </w:r>
            <w:r>
              <w:rPr>
                <w:rFonts w:hint="eastAsia" w:ascii="宋体" w:hAnsi="宋体" w:eastAsia="宋体" w:cs="宋体"/>
                <w:b w:val="0"/>
                <w:bCs w:val="0"/>
                <w:i w:val="0"/>
                <w:color w:val="auto"/>
                <w:kern w:val="0"/>
                <w:sz w:val="21"/>
                <w:szCs w:val="21"/>
                <w:highlight w:val="none"/>
                <w:u w:val="none"/>
                <w:lang w:val="en-US" w:eastAsia="zh-CN" w:bidi="ar"/>
              </w:rPr>
              <w:t>(15/100)</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企业根据实际，确定以基准利率模式或LPR模式中的一种计算得分；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kern w:val="0"/>
                <w:sz w:val="21"/>
                <w:szCs w:val="21"/>
                <w:highlight w:val="none"/>
                <w:u w:val="none"/>
                <w:lang w:val="en-US" w:eastAsia="zh-CN" w:bidi="ar"/>
              </w:rPr>
              <w:t>贷款利率浮动幅度加权平均值以不同期限贷款的利率浮动幅度乘以不同系数来计算（一年以内（含一年）乘以系数1；一年到三年（含三年）乘以系数0.93；三年到五年（含五年）乘以系数0.91；五年以上乘以系数0.88）</w:t>
            </w:r>
            <w:r>
              <w:rPr>
                <w:rFonts w:hint="eastAsia" w:ascii="宋体" w:hAnsi="宋体" w:eastAsia="宋体" w:cs="宋体"/>
                <w:i w:val="0"/>
                <w:color w:val="000000"/>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2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信用贷款比例</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信用方式在敞口融资余额中比例（信用方式贷款余额/敞口融资余额）最高为基准值，得满分4分，其他单位的得分统一按照下列公式计算：信用贷款比例得分=（信用方式在敞口融资额中比例/基准值）×4</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信用方式为仅依据信用状况发放的贷款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atLeast"/>
        </w:trPr>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3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评价指标</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b/>
                <w:i w:val="0"/>
                <w:color w:val="000000"/>
                <w:kern w:val="0"/>
                <w:sz w:val="24"/>
                <w:szCs w:val="24"/>
                <w:u w:val="none"/>
                <w:lang w:val="en-US" w:eastAsia="zh-CN" w:bidi="ar"/>
              </w:rPr>
              <w:t>分值</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评价标准和评分方法</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审核依据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5" w:hRule="atLeast"/>
        </w:trPr>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信贷支持能力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（45</w:t>
            </w:r>
            <w:r>
              <w:rPr>
                <w:rStyle w:val="5"/>
                <w:rFonts w:hint="eastAsia" w:ascii="宋体" w:hAnsi="宋体" w:eastAsia="宋体" w:cs="宋体"/>
                <w:sz w:val="21"/>
                <w:szCs w:val="21"/>
                <w:lang w:val="en-US" w:eastAsia="zh-CN" w:bidi="ar"/>
              </w:rPr>
              <w:t>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信贷承诺</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承诺的未来1-3年（具体年限由企业根据实际确定）贷款总额，以承诺的最高额度为基准值，得满分3分，其他单位的得分统一按照下列公式计算：贷款规模得分=（贷款总额/基准值）×3；</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诺的未来1-3年（具体年限由企业根据实际确定）购买企业债券总额，以承诺的最高额度为基准值，得满分2分，其他单位的得分统一按照下列公式计算：购买债券规模得分=（购买债券总额/基准值）×2；（注：如企业没有发行债券计划的，本项2分调整至承诺的未来贷款总额项目中，承诺的未来贷款总额调整为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承诺的未来1-3年贷款利率（具体年限由企业根据实际确定）浮动幅度加权平均值最低为基准值，得满分5分，其他单位的得分统一按照下列公式计算：基准利率模式：贷款利率得分=5-（贷款利率浮动幅度加权平均值-基准值）×（5/25），LPR模式：贷款利率得分=5-（贷款利率浮动幅度加权平均值-基准值）×（5/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没有按照承诺的贷款、购买债券总额和利率的执行的银行，列入遴选企业战略合作银行遴选黑名单，取消参加该企业下一轮遴选的资格；如出现在三家绍兴市区管企业遴选黑名单，取消该银行参加绍兴市区管企业战略合作（资金竞争性存放、债券资金监管）银行的遴选资格。</w:t>
            </w: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sz w:val="21"/>
                <w:szCs w:val="21"/>
                <w:highlight w:val="none"/>
                <w:u w:val="none"/>
                <w:lang w:val="en-US" w:eastAsia="zh-CN"/>
              </w:rPr>
              <w:t>企业根据实际，确定以基准利率模式或LPR模式中的一种计算得分；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kern w:val="0"/>
                <w:sz w:val="21"/>
                <w:szCs w:val="21"/>
                <w:highlight w:val="none"/>
                <w:u w:val="none"/>
                <w:lang w:val="en-US" w:eastAsia="zh-CN" w:bidi="ar"/>
              </w:rPr>
              <w:t xml:space="preserve">贷款利率浮动幅度加权平均值以不同期限贷款的利率浮动幅度乘以不同系数来计算（一年以内（含一年）乘以系数1；一年到三年（含三年）乘以系数0.93；三年到五年（含五年）乘以系数0.91；五年以上乘以系数0.88）                        </w:t>
            </w:r>
            <w:r>
              <w:rPr>
                <w:rFonts w:hint="eastAsia" w:ascii="宋体" w:hAnsi="宋体" w:eastAsia="宋体" w:cs="宋体"/>
                <w:i w:val="0"/>
                <w:color w:val="000000"/>
                <w:kern w:val="0"/>
                <w:sz w:val="21"/>
                <w:szCs w:val="21"/>
                <w:highlight w:val="yellow"/>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3.考虑各单位贷款、债券需求额度不同，企业可自行设定不同贷款项目投标人需满足的最高（低）承诺额度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atLeast"/>
        </w:trPr>
        <w:tc>
          <w:tcPr>
            <w:tcW w:w="92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存款利率水平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（35</w:t>
            </w:r>
            <w:r>
              <w:rPr>
                <w:rStyle w:val="5"/>
                <w:rFonts w:hint="eastAsia" w:ascii="宋体" w:hAnsi="宋体" w:eastAsia="宋体" w:cs="宋体"/>
                <w:sz w:val="21"/>
                <w:szCs w:val="2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活期存款利率优惠率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8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自律协会允许的活期存款利率优惠率最高为基准值，得满分5分，各单位的得分统一按照下列公式计算：活期存款利率得分=（活期存款利率优惠率/基准值）×5</w:t>
            </w:r>
          </w:p>
        </w:tc>
        <w:tc>
          <w:tcPr>
            <w:tcW w:w="323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浙江省市场利率定价自律机制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(注：根据自律机制规定的不同类型的银行分类，分别进行考评计算得分)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2" w:hRule="atLeast"/>
        </w:trPr>
        <w:tc>
          <w:tcPr>
            <w:tcW w:w="92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协定活期存款利率优惠率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8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1.自律协会允许的协定活期存款利率优惠率最高为基准值，得满分2.5分，各单位的得分统一按照下列公式计算：（协定活期存款利率优惠率/基准值）×2.5；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2.根据起存额度最低者为评分基准值，得满分2.5分，其他单位的得分统一按照下列公式计算：（基准值/起存额度）×2.5；</w:t>
            </w:r>
          </w:p>
        </w:tc>
        <w:tc>
          <w:tcPr>
            <w:tcW w:w="323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92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7天通知存款利率优惠率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8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自律协会允许的7天通知存款利率优惠率最高为评标基准值，得满分5分，各单位的得分统一按照下列公式计算：7天通知存款利率得分=（7天通知存款利率优惠率/基准值）×5</w:t>
            </w:r>
          </w:p>
        </w:tc>
        <w:tc>
          <w:tcPr>
            <w:tcW w:w="323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92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大额定存利率优惠率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自律协会允许的大额定存优惠率最高为基准值，得满分10分，各单位的得分统一按照下列公式计算：大额定存得分=（大额定存优惠率/基准值）×10</w:t>
            </w:r>
          </w:p>
        </w:tc>
        <w:tc>
          <w:tcPr>
            <w:tcW w:w="323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92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定期存款利率优惠率</w:t>
            </w:r>
          </w:p>
        </w:tc>
        <w:tc>
          <w:tcPr>
            <w:tcW w:w="58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25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自律协会允许的定期存款优惠率最高为基准值，得满分10分，各单位的得分统一按照下列公式计算：定期存款得分=（定期存款优惠率/基准值）×10</w:t>
            </w:r>
          </w:p>
        </w:tc>
        <w:tc>
          <w:tcPr>
            <w:tcW w:w="3233"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 w:hRule="atLeast"/>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337"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评价指标</w:t>
            </w:r>
          </w:p>
        </w:tc>
        <w:tc>
          <w:tcPr>
            <w:tcW w:w="58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分值</w:t>
            </w:r>
          </w:p>
        </w:tc>
        <w:tc>
          <w:tcPr>
            <w:tcW w:w="825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评价标准和评分方法</w:t>
            </w:r>
          </w:p>
        </w:tc>
        <w:tc>
          <w:tcPr>
            <w:tcW w:w="3233"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审核依据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26"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服务品质（</w:t>
            </w:r>
            <w:r>
              <w:rPr>
                <w:rFonts w:hint="eastAsia" w:ascii="宋体" w:hAnsi="宋体" w:eastAsia="宋体" w:cs="宋体"/>
                <w:i w:val="0"/>
                <w:color w:val="000000"/>
                <w:sz w:val="21"/>
                <w:szCs w:val="21"/>
                <w:u w:val="none"/>
                <w:lang w:val="en-US" w:eastAsia="zh-CN"/>
              </w:rPr>
              <w:t>15分</w:t>
            </w:r>
            <w:r>
              <w:rPr>
                <w:rFonts w:hint="eastAsia" w:ascii="宋体" w:hAnsi="宋体" w:eastAsia="宋体" w:cs="宋体"/>
                <w:i w:val="0"/>
                <w:color w:val="000000"/>
                <w:sz w:val="21"/>
                <w:szCs w:val="21"/>
                <w:u w:val="none"/>
                <w:lang w:eastAsia="zh-CN"/>
              </w:rPr>
              <w:t>）</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优质服务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8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可提供结算网络服务、系统开发、支撑能力（0.5分）；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2.网点设立个数及联动办理能力（0.5分）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3.能开通业务办理绿色通道，提供即时服务，并指派一名专职客服经理（含网银）管理，对口上门服务得1分；无该项服务的得0分；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4.有各种收费减免的（如询证函收费、帐户管理费、证书年费、资信证明手续费、承兑保证金（保函）手续费、电子回单箱服务年费、 各项汇划手续费、购买各种支票费、凭证费用等），每项得0.2分，累计不超过2分；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5.大额资金当日支付（0.5分）或当日入帐（0.5分）</w:t>
            </w:r>
          </w:p>
        </w:tc>
        <w:tc>
          <w:tcPr>
            <w:tcW w:w="323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银行需提供承诺函，对具体内容进行明确的承诺，对结算、网络系统开发、支撑服务等进行较为具体、详细的文字介绍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926"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000000"/>
                <w:sz w:val="21"/>
                <w:szCs w:val="21"/>
                <w:u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特色服务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8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既往已为企业提供的特色服务，最高得4分；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今后能根据企业需求提供特色服务，最高得6分</w:t>
            </w:r>
          </w:p>
        </w:tc>
        <w:tc>
          <w:tcPr>
            <w:tcW w:w="323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根据银行综合运用整体资源为企业提供特色业务情况，具体列举提供的特色服务名称、内容等说明，由企业在分值内赋分并确认。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2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000000"/>
                <w:sz w:val="21"/>
                <w:szCs w:val="21"/>
                <w:u w:val="none"/>
              </w:rPr>
            </w:pPr>
          </w:p>
        </w:tc>
        <w:tc>
          <w:tcPr>
            <w:tcW w:w="3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4" w:hRule="atLeast"/>
        </w:trPr>
        <w:tc>
          <w:tcPr>
            <w:tcW w:w="143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4"/>
                <w:szCs w:val="24"/>
                <w:u w:val="none"/>
                <w:lang w:val="en-US" w:eastAsia="zh-CN" w:bidi="ar"/>
              </w:rPr>
              <w:t>注：评价指标及分值可由企业根据需要适当调整权重比例，相关调整方案应纳入企业“三重一大”事项，由企业根据实际集体决策。</w:t>
            </w:r>
          </w:p>
        </w:tc>
      </w:tr>
    </w:tbl>
    <w:p>
      <w:pPr>
        <w:keepNext w:val="0"/>
        <w:keepLines w:val="0"/>
        <w:widowControl w:val="0"/>
        <w:suppressLineNumbers w:val="0"/>
        <w:jc w:val="both"/>
        <w:textAlignment w:val="auto"/>
        <w:rPr>
          <w:rFonts w:hint="eastAsia" w:ascii="黑体" w:hAnsi="黑体" w:eastAsia="黑体" w:cs="黑体"/>
          <w:b w:val="0"/>
          <w:bCs/>
          <w:i w:val="0"/>
          <w:color w:val="000000"/>
          <w:kern w:val="0"/>
          <w:sz w:val="32"/>
          <w:szCs w:val="32"/>
          <w:u w:val="none"/>
          <w:lang w:val="en-US" w:eastAsia="zh-CN" w:bidi="ar"/>
        </w:rPr>
      </w:pPr>
    </w:p>
    <w:p>
      <w:pPr>
        <w:keepNext w:val="0"/>
        <w:keepLines w:val="0"/>
        <w:widowControl w:val="0"/>
        <w:suppressLineNumbers w:val="0"/>
        <w:jc w:val="both"/>
        <w:textAlignment w:val="auto"/>
        <w:rPr>
          <w:rFonts w:hint="eastAsia" w:ascii="黑体" w:hAnsi="黑体" w:eastAsia="黑体" w:cs="黑体"/>
          <w:b w:val="0"/>
          <w:bCs/>
          <w:i w:val="0"/>
          <w:color w:val="000000"/>
          <w:kern w:val="0"/>
          <w:sz w:val="32"/>
          <w:szCs w:val="32"/>
          <w:u w:val="none"/>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4A58C"/>
    <w:multiLevelType w:val="singleLevel"/>
    <w:tmpl w:val="5ED4A58C"/>
    <w:lvl w:ilvl="0" w:tentative="0">
      <w:start w:val="1"/>
      <w:numFmt w:val="decimal"/>
      <w:suff w:val="nothing"/>
      <w:lvlText w:val="%1."/>
      <w:lvlJc w:val="left"/>
    </w:lvl>
  </w:abstractNum>
  <w:abstractNum w:abstractNumId="1">
    <w:nsid w:val="5ED5B7B4"/>
    <w:multiLevelType w:val="singleLevel"/>
    <w:tmpl w:val="5ED5B7B4"/>
    <w:lvl w:ilvl="0" w:tentative="0">
      <w:start w:val="1"/>
      <w:numFmt w:val="decimal"/>
      <w:suff w:val="nothing"/>
      <w:lvlText w:val="%1."/>
      <w:lvlJc w:val="left"/>
    </w:lvl>
  </w:abstractNum>
  <w:abstractNum w:abstractNumId="2">
    <w:nsid w:val="5F11000F"/>
    <w:multiLevelType w:val="singleLevel"/>
    <w:tmpl w:val="5F11000F"/>
    <w:lvl w:ilvl="0" w:tentative="0">
      <w:start w:val="1"/>
      <w:numFmt w:val="decimal"/>
      <w:suff w:val="nothing"/>
      <w:lvlText w:val="%1."/>
      <w:lvlJc w:val="left"/>
    </w:lvl>
  </w:abstractNum>
  <w:abstractNum w:abstractNumId="3">
    <w:nsid w:val="5F1689D1"/>
    <w:multiLevelType w:val="singleLevel"/>
    <w:tmpl w:val="5F1689D1"/>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ZDdlNWRiY2VjMGUxZjA5YTIwNjM0OGYzNjc3YzkifQ=="/>
  </w:docVars>
  <w:rsids>
    <w:rsidRoot w:val="23724CBE"/>
    <w:rsid w:val="0065485B"/>
    <w:rsid w:val="00BA6D73"/>
    <w:rsid w:val="02863ACF"/>
    <w:rsid w:val="02FD13B5"/>
    <w:rsid w:val="03F84956"/>
    <w:rsid w:val="040302FE"/>
    <w:rsid w:val="056E2B1A"/>
    <w:rsid w:val="06812D90"/>
    <w:rsid w:val="071E6A01"/>
    <w:rsid w:val="07815D50"/>
    <w:rsid w:val="08A41765"/>
    <w:rsid w:val="09FD55BA"/>
    <w:rsid w:val="0B780D75"/>
    <w:rsid w:val="0BA7616A"/>
    <w:rsid w:val="0C3B7478"/>
    <w:rsid w:val="0CF30451"/>
    <w:rsid w:val="0D1F643F"/>
    <w:rsid w:val="0DA70F2A"/>
    <w:rsid w:val="0E442774"/>
    <w:rsid w:val="0F455C4B"/>
    <w:rsid w:val="0F9361E1"/>
    <w:rsid w:val="105E4DE2"/>
    <w:rsid w:val="106C7ECB"/>
    <w:rsid w:val="11FB3650"/>
    <w:rsid w:val="122B1362"/>
    <w:rsid w:val="125D4D14"/>
    <w:rsid w:val="13B57D98"/>
    <w:rsid w:val="14C213DC"/>
    <w:rsid w:val="164C5DCA"/>
    <w:rsid w:val="16972E7E"/>
    <w:rsid w:val="169F49FD"/>
    <w:rsid w:val="176D1ADA"/>
    <w:rsid w:val="178D2287"/>
    <w:rsid w:val="17DC35F1"/>
    <w:rsid w:val="17F044A1"/>
    <w:rsid w:val="18375A77"/>
    <w:rsid w:val="183D0A5C"/>
    <w:rsid w:val="1A1D719C"/>
    <w:rsid w:val="1A560928"/>
    <w:rsid w:val="1B9E5117"/>
    <w:rsid w:val="1BC91CDD"/>
    <w:rsid w:val="1BC9512F"/>
    <w:rsid w:val="1D0F51FD"/>
    <w:rsid w:val="1D2F1B5B"/>
    <w:rsid w:val="1E725B5F"/>
    <w:rsid w:val="1EBC08EE"/>
    <w:rsid w:val="2050171A"/>
    <w:rsid w:val="207345F3"/>
    <w:rsid w:val="20BC3A11"/>
    <w:rsid w:val="20C61A4D"/>
    <w:rsid w:val="20CC0DBF"/>
    <w:rsid w:val="20D14112"/>
    <w:rsid w:val="21101E27"/>
    <w:rsid w:val="211B0B7F"/>
    <w:rsid w:val="21513DC5"/>
    <w:rsid w:val="21AE532A"/>
    <w:rsid w:val="23427CAD"/>
    <w:rsid w:val="2345518B"/>
    <w:rsid w:val="23724CBE"/>
    <w:rsid w:val="240B2F78"/>
    <w:rsid w:val="24870DC4"/>
    <w:rsid w:val="259409E2"/>
    <w:rsid w:val="25A35A17"/>
    <w:rsid w:val="25C42E8D"/>
    <w:rsid w:val="263D5F84"/>
    <w:rsid w:val="27306DB1"/>
    <w:rsid w:val="28005399"/>
    <w:rsid w:val="28AA661E"/>
    <w:rsid w:val="29785E27"/>
    <w:rsid w:val="29B70CF5"/>
    <w:rsid w:val="29BC0406"/>
    <w:rsid w:val="2A036984"/>
    <w:rsid w:val="2A376BF9"/>
    <w:rsid w:val="2AF10937"/>
    <w:rsid w:val="2BC330C1"/>
    <w:rsid w:val="2C0064E5"/>
    <w:rsid w:val="2C083BB4"/>
    <w:rsid w:val="2D2D42FB"/>
    <w:rsid w:val="2EAB4B12"/>
    <w:rsid w:val="2F975154"/>
    <w:rsid w:val="30CB1D93"/>
    <w:rsid w:val="314E26C1"/>
    <w:rsid w:val="319910E5"/>
    <w:rsid w:val="31B96E7E"/>
    <w:rsid w:val="32126135"/>
    <w:rsid w:val="32E81A94"/>
    <w:rsid w:val="333412E0"/>
    <w:rsid w:val="33F6618B"/>
    <w:rsid w:val="343513FC"/>
    <w:rsid w:val="3579264A"/>
    <w:rsid w:val="36C5541C"/>
    <w:rsid w:val="37D64A29"/>
    <w:rsid w:val="380D5255"/>
    <w:rsid w:val="39153699"/>
    <w:rsid w:val="39E03CE4"/>
    <w:rsid w:val="3A685BC0"/>
    <w:rsid w:val="3A7A3ED3"/>
    <w:rsid w:val="3AD92AC2"/>
    <w:rsid w:val="3B724146"/>
    <w:rsid w:val="3CD70C8A"/>
    <w:rsid w:val="3D191C47"/>
    <w:rsid w:val="3DCC17B2"/>
    <w:rsid w:val="3FA02CB8"/>
    <w:rsid w:val="3FC120A4"/>
    <w:rsid w:val="3FFE4A63"/>
    <w:rsid w:val="406006DF"/>
    <w:rsid w:val="41864F88"/>
    <w:rsid w:val="41B036D7"/>
    <w:rsid w:val="41F31581"/>
    <w:rsid w:val="431C7995"/>
    <w:rsid w:val="43937E14"/>
    <w:rsid w:val="43D20BC3"/>
    <w:rsid w:val="45A448F2"/>
    <w:rsid w:val="45EF2B21"/>
    <w:rsid w:val="47633ECA"/>
    <w:rsid w:val="47936040"/>
    <w:rsid w:val="4A644F34"/>
    <w:rsid w:val="4D8C4288"/>
    <w:rsid w:val="4EE102A3"/>
    <w:rsid w:val="4F08751D"/>
    <w:rsid w:val="4FA02D08"/>
    <w:rsid w:val="51096362"/>
    <w:rsid w:val="51515E5F"/>
    <w:rsid w:val="523B157B"/>
    <w:rsid w:val="52641788"/>
    <w:rsid w:val="5340347E"/>
    <w:rsid w:val="53C4218C"/>
    <w:rsid w:val="545034E5"/>
    <w:rsid w:val="548C7373"/>
    <w:rsid w:val="550C7FAB"/>
    <w:rsid w:val="559338B3"/>
    <w:rsid w:val="5650195D"/>
    <w:rsid w:val="56BE2CB8"/>
    <w:rsid w:val="586239A6"/>
    <w:rsid w:val="59D17B1B"/>
    <w:rsid w:val="5A334677"/>
    <w:rsid w:val="5A7B23A4"/>
    <w:rsid w:val="5AC3322F"/>
    <w:rsid w:val="5B037F21"/>
    <w:rsid w:val="5CC67CB4"/>
    <w:rsid w:val="5D034C2D"/>
    <w:rsid w:val="5E1E6B1C"/>
    <w:rsid w:val="5E3D2EF0"/>
    <w:rsid w:val="5E96534A"/>
    <w:rsid w:val="60D83F37"/>
    <w:rsid w:val="61213F9B"/>
    <w:rsid w:val="61BC3A57"/>
    <w:rsid w:val="61F72AD2"/>
    <w:rsid w:val="62263B66"/>
    <w:rsid w:val="62406AC1"/>
    <w:rsid w:val="63606A14"/>
    <w:rsid w:val="63860191"/>
    <w:rsid w:val="650664C9"/>
    <w:rsid w:val="664A2617"/>
    <w:rsid w:val="67F37B07"/>
    <w:rsid w:val="68F45875"/>
    <w:rsid w:val="691F6A0F"/>
    <w:rsid w:val="695A31C0"/>
    <w:rsid w:val="6A2C4322"/>
    <w:rsid w:val="6ABB3982"/>
    <w:rsid w:val="6B302B3D"/>
    <w:rsid w:val="6C8658EC"/>
    <w:rsid w:val="6DCA67F5"/>
    <w:rsid w:val="6E4D33E8"/>
    <w:rsid w:val="6E86012D"/>
    <w:rsid w:val="6F1A5941"/>
    <w:rsid w:val="70317DE2"/>
    <w:rsid w:val="70A0585A"/>
    <w:rsid w:val="70C975CC"/>
    <w:rsid w:val="71B87A80"/>
    <w:rsid w:val="72413BFF"/>
    <w:rsid w:val="735272A4"/>
    <w:rsid w:val="7411024C"/>
    <w:rsid w:val="74573B5F"/>
    <w:rsid w:val="74930281"/>
    <w:rsid w:val="7747784B"/>
    <w:rsid w:val="78F433D0"/>
    <w:rsid w:val="795413ED"/>
    <w:rsid w:val="797E0B02"/>
    <w:rsid w:val="7B097245"/>
    <w:rsid w:val="7C1F0151"/>
    <w:rsid w:val="7CE12B10"/>
    <w:rsid w:val="7D0F4068"/>
    <w:rsid w:val="7D4A036F"/>
    <w:rsid w:val="7DA070F0"/>
    <w:rsid w:val="7EA27470"/>
    <w:rsid w:val="7EB96B17"/>
    <w:rsid w:val="7F0E5D7A"/>
    <w:rsid w:val="7FD3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color w:val="000000"/>
      <w:sz w:val="72"/>
      <w:szCs w:val="7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2559</Words>
  <Characters>2668</Characters>
  <Lines>0</Lines>
  <Paragraphs>0</Paragraphs>
  <TotalTime>0</TotalTime>
  <ScaleCrop>false</ScaleCrop>
  <LinksUpToDate>false</LinksUpToDate>
  <CharactersWithSpaces>2718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2020-06-02T00:50:00Z</dcterms:created>
  <dc:creator>宋文英</dc:creator>
  <cp:lastModifiedBy>Administrator</cp:lastModifiedBy>
  <cp:lastPrinted>2023-04-24T06:07:00Z</cp:lastPrinted>
  <dcterms:modified xsi:type="dcterms:W3CDTF">2023-05-12T06:55:34Z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98305050881F4374B85069C4EE8C437D</vt:lpwstr>
  </property>
</Properties>
</file>