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3A16" w14:textId="77777777" w:rsidR="00FF2AC6" w:rsidRDefault="00000000">
      <w:pPr>
        <w:pStyle w:val="a6"/>
        <w:widowControl/>
        <w:spacing w:before="300" w:after="300" w:line="420" w:lineRule="atLeast"/>
        <w:ind w:firstLineChars="100" w:firstLine="320"/>
        <w:jc w:val="left"/>
        <w:rPr>
          <w:rFonts w:ascii="方正小标宋简体" w:eastAsia="方正小标宋简体" w:hAnsi="方正小标宋_GBK" w:cs="方正小标宋_GBK"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3290362" w14:textId="77777777" w:rsidR="00FF2AC6" w:rsidRDefault="00000000">
      <w:pPr>
        <w:spacing w:line="560" w:lineRule="exact"/>
        <w:jc w:val="center"/>
        <w:rPr>
          <w:rFonts w:ascii="方正小标宋简体" w:eastAsia="方正小标宋简体" w:hAnsi="方正小标宋_GBK" w:cs="方正小标宋_GBK"/>
          <w:b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b/>
          <w:sz w:val="44"/>
          <w:szCs w:val="44"/>
        </w:rPr>
        <w:t>钱塘（新）区关于支持现代服务业高质量发展政策的实施细则</w:t>
      </w:r>
    </w:p>
    <w:p w14:paraId="47739294" w14:textId="77777777" w:rsidR="00FF2AC6" w:rsidRDefault="00000000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0"/>
          <w:szCs w:val="30"/>
        </w:rPr>
        <w:t>（征求意见稿）</w:t>
      </w:r>
    </w:p>
    <w:p w14:paraId="37CB18A6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为积极营造一流营商环境，鼓励企业做大做强，大力发展科研服务、数字服务、供应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链服务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等主导产业，进一步调整优化产业结构，加快构建</w:t>
      </w:r>
      <w:r>
        <w:rPr>
          <w:rFonts w:ascii="Times New Roman" w:eastAsia="仿宋_GB2312" w:hAnsi="Times New Roman" w:cs="Times New Roman"/>
          <w:sz w:val="32"/>
          <w:szCs w:val="32"/>
        </w:rPr>
        <w:t>“5-4-X”</w:t>
      </w:r>
      <w:r>
        <w:rPr>
          <w:rFonts w:ascii="Times New Roman" w:eastAsia="仿宋_GB2312" w:hAnsi="Times New Roman" w:cs="Times New Roman"/>
          <w:sz w:val="32"/>
          <w:szCs w:val="32"/>
        </w:rPr>
        <w:t>现代服务业发展矩阵，促进现代服务业高质量高水平发展，根据《关于实施钱塘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领飞计划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打造新时代高能级产业发展战略平台若干政策意见》文件精神，特制定本实施细则。</w:t>
      </w:r>
    </w:p>
    <w:p w14:paraId="057D6CD4" w14:textId="77777777" w:rsidR="00FF2AC6" w:rsidRDefault="00000000">
      <w:pPr>
        <w:spacing w:line="560" w:lineRule="exact"/>
        <w:ind w:firstLine="640"/>
        <w:rPr>
          <w:rFonts w:ascii="Times New Roman" w:eastAsia="黑体" w:hAnsi="Times New Roman" w:cs="Times New Roman"/>
          <w:color w:val="FF000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一、适用对象</w:t>
      </w:r>
    </w:p>
    <w:p w14:paraId="37C4B04C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本细则适用于在钱塘（新）区范围内注册、纳税、正常生产经营的服务业企业（房地产开发企业除外）。</w:t>
      </w:r>
    </w:p>
    <w:p w14:paraId="0FAC1EB1" w14:textId="77777777" w:rsidR="00FF2AC6" w:rsidRDefault="00000000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二、主要内容</w:t>
      </w:r>
    </w:p>
    <w:p w14:paraId="59221FED" w14:textId="77777777" w:rsidR="00FF2AC6" w:rsidRDefault="00000000">
      <w:pPr>
        <w:spacing w:line="560" w:lineRule="exact"/>
        <w:ind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（一）鼓励企业做大做强</w:t>
      </w:r>
    </w:p>
    <w:p w14:paraId="0D2FA6B6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支持企业跨越式发展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。对年营业收入首次突破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八个目标档次的企业，分别给予企业最高不超过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的一次性奖励。</w:t>
      </w:r>
    </w:p>
    <w:p w14:paraId="781B3EE6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鼓励企业上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对年营业收入首次符合上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标准并纳入统计的新上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（限）企业，给予最高不超过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万元的一次性奖励。</w:t>
      </w:r>
    </w:p>
    <w:p w14:paraId="4848F2E4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lastRenderedPageBreak/>
        <w:t>（二）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做强服务业主导产业</w:t>
      </w:r>
    </w:p>
    <w:p w14:paraId="319B000D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鼓励企业加快发展。对年营业收入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万元以上且营收、税收增幅均在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以上的企业，在区内租赁自用办公用房的，以最高不超过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平方米的标准，按租金最高不超过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给予补助，企业在区内购买自用办公用房的，按租房补助的同等标准，给予一次性资金补助。</w:t>
      </w:r>
    </w:p>
    <w:p w14:paraId="225DC9CB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鼓励引进主导产业企业。经认定符合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“5-4-X”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现代服务业矩阵发展方向的新入驻企业，员工人数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人以上，且在区内租赁自用办公用房的，以最高不超过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平方米办公面积（其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中文创类企业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平方米）的标准，按租金最高不超过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给予两年补助。</w:t>
      </w:r>
    </w:p>
    <w:p w14:paraId="031326C6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鼓励软件信息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服务业引育发展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。对当年首次取得信息技术服务标准（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ITSS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）资质一级、二级、三级，信息安全服务资质五级、四级、三级，软件能力成熟度模型集成（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CMMI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）资质五级、四级、三级，数据管理能力成熟度模型集成（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DCMM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）资质五级、四级、三级，信息安全等级保护资质五级、四级、三级的企业，分别给予最高不超过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万元的一次性奖励。</w:t>
      </w:r>
    </w:p>
    <w:p w14:paraId="10C32BFC" w14:textId="77777777" w:rsidR="00FF2AC6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降低企业运营成本。对企业年度开展正常经营活动时发生的网络通信费用（专线）、服务器托管费用、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云计算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服务费超过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万元的部分，给予最高不超过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％的补贴，补助总额不超过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14:paraId="2A7B22EA" w14:textId="77777777" w:rsidR="00FF2AC6" w:rsidRDefault="00000000">
      <w:pPr>
        <w:tabs>
          <w:tab w:val="left" w:pos="5280"/>
        </w:tabs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鼓励研发检测服务业融合发展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。首次通过中国合格评定国家认可委员会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CNAS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实验室认可的企业，给予最高不超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万元的奖励。首次获得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DILAC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国防科技工业实验室认可的企业，给予最高不超过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万元的一次性奖励。</w:t>
      </w:r>
    </w:p>
    <w:p w14:paraId="50F7369C" w14:textId="77777777" w:rsidR="00FF2AC6" w:rsidRDefault="00000000">
      <w:pPr>
        <w:tabs>
          <w:tab w:val="left" w:pos="5280"/>
        </w:tabs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鼓励科技金融中介服务业提升发展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。经认定为新引进的企业集团财务公司、保险公司、证券公司、会计师事务所、律师事务所等类金融机构独立法人及中介服务机构，在区内租赁自用办公用房的，以最高不超过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平方米的标准，按租金最高不超过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给予两年补助。</w:t>
      </w:r>
    </w:p>
    <w:p w14:paraId="36F6E314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（三）支持产业融合发展</w:t>
      </w:r>
    </w:p>
    <w:p w14:paraId="38723907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鼓励电子商务与现代物流协同发展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。加快推进智能传感器、工业机器人、移动互联网、大数据、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云计算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等装备和技术在快递物流领域的应用，推广使用托盘、立体仓库、自动识别和标识、电子数据交换、可视化与货物跟踪、货物快递分拣、电子结算物流系统技术开发及应用，支持企业在冷库和冷链方面的建设投入。当年项目投资额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万元的，按项目投资额最高不超过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给予补助，项目补助总额不超过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14:paraId="11029551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支持物流仓储与电子商务协同发展。区内物流快递企业为区内电商企业提供配送服务的，按照合同（实际支付的服务费用），予以最高不超过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的资金支持，单家企业支持总额不超过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14:paraId="2B26FAC0" w14:textId="77777777" w:rsidR="00FF2AC6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二三产融合发展。鼓励制造业企业将研发、销售、工业设计、个性化定制、物流、云平台等业务分离，成立独立法人的销售公司、研发机构、软件信息公司等生产性服务业企业或商贸业企业；鼓励物流企业成立独立法人的软件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息公司。在保持原企业营收不下降的情况下，三年内对分离新设的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上服务业企业或限上贸易业企业从研发投入、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房租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补助等方面给予支持奖励，奖励额度三年内分别不超过其在钱塘综合贡献的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16E65AE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支持企业提供设计服务。支持区内设计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服务、软件运营服务（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SaaS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企业为区内先进制造业企业提供服务，以最高不超过服务合同实际发生额的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给予奖励，奖励金额最高不超过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14:paraId="533F7417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支持企业参加展会。企业参加由政府组织的境内展会，按省外、省内、市内分别给予每次最高不超过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万元的补助，年累计最高不超过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</w:p>
    <w:p w14:paraId="445572D1" w14:textId="77777777" w:rsidR="00FF2AC6" w:rsidRDefault="00000000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三、附则</w:t>
      </w:r>
    </w:p>
    <w:p w14:paraId="1D229B50" w14:textId="77777777" w:rsidR="00FF2AC6" w:rsidRDefault="00000000">
      <w:pPr>
        <w:tabs>
          <w:tab w:val="left" w:pos="720"/>
        </w:tabs>
        <w:autoSpaceDE w:val="0"/>
        <w:autoSpaceDN w:val="0"/>
        <w:spacing w:line="560" w:lineRule="exact"/>
        <w:ind w:right="18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根据《杭州市钱塘区现代服务业高质量发展规划》钱塘服务办〔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号文件精神，本政策中的</w:t>
      </w:r>
      <w:r>
        <w:rPr>
          <w:rFonts w:ascii="Times New Roman" w:eastAsia="仿宋_GB2312" w:hAnsi="Times New Roman" w:cs="Times New Roman"/>
          <w:sz w:val="32"/>
          <w:szCs w:val="32"/>
        </w:rPr>
        <w:t>“5-4-X”</w:t>
      </w:r>
      <w:r>
        <w:rPr>
          <w:rFonts w:ascii="Times New Roman" w:eastAsia="仿宋_GB2312" w:hAnsi="Times New Roman" w:cs="Times New Roman"/>
          <w:sz w:val="32"/>
          <w:szCs w:val="32"/>
        </w:rPr>
        <w:t>现代服务业发展矩阵是指：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科研服务、数字服务、供应链服务、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数贸服务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、消费服务五大特色服务产业；美丽经济、总部经济、楼宇经济、枢纽经济四大服务经济形态；检验检测、旅游服务、文化服务、金融服务、社区服务等多类配套服务产业。</w:t>
      </w:r>
    </w:p>
    <w:p w14:paraId="53AD084E" w14:textId="77777777" w:rsidR="00FF2AC6" w:rsidRDefault="00000000">
      <w:pPr>
        <w:tabs>
          <w:tab w:val="left" w:pos="720"/>
        </w:tabs>
        <w:autoSpaceDE w:val="0"/>
        <w:autoSpaceDN w:val="0"/>
        <w:spacing w:line="560" w:lineRule="exact"/>
        <w:ind w:right="18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本细则中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房租补贴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最高不超过以下标准：下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沙区域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楼宇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天，厂房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天，工业仓储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天；江东区域楼宇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天，厂房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天，工业仓储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0.8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平方米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天。</w:t>
      </w:r>
    </w:p>
    <w:p w14:paraId="302473AD" w14:textId="77777777" w:rsidR="00FF2AC6" w:rsidRDefault="00000000">
      <w:pPr>
        <w:tabs>
          <w:tab w:val="left" w:pos="720"/>
        </w:tabs>
        <w:autoSpaceDE w:val="0"/>
        <w:autoSpaceDN w:val="0"/>
        <w:spacing w:line="560" w:lineRule="exact"/>
        <w:ind w:right="18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类财政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支持总额以企业当年在钱塘的综合贡献为限（第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条除外），并根据财政年度预算安排，按照企业的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投入、产出和效益确定支持方案。</w:t>
      </w:r>
    </w:p>
    <w:p w14:paraId="01767770" w14:textId="77777777" w:rsidR="00FF2AC6" w:rsidRDefault="00000000">
      <w:pPr>
        <w:tabs>
          <w:tab w:val="left" w:pos="720"/>
        </w:tabs>
        <w:autoSpaceDE w:val="0"/>
        <w:autoSpaceDN w:val="0"/>
        <w:spacing w:line="560" w:lineRule="exact"/>
        <w:ind w:right="18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17.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已实行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的企业，按已签订的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策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协议执行，不再享受本政策支持。本政策同一项目按从高从优不重复和进档差额原则进行补助。</w:t>
      </w:r>
    </w:p>
    <w:p w14:paraId="38D0B105" w14:textId="77777777" w:rsidR="00FF2AC6" w:rsidRDefault="00000000">
      <w:pPr>
        <w:spacing w:line="56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本细则自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日起施行，试行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年，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年符合条件的，可参照执行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年度未兑现完毕的延续性政策按照老政策文件规定执行完毕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具体由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钱塘区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发展和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改革局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负责解释。</w:t>
      </w:r>
    </w:p>
    <w:p w14:paraId="3923E289" w14:textId="77777777" w:rsidR="00FF2AC6" w:rsidRDefault="00FF2AC6">
      <w:pPr>
        <w:pStyle w:val="a6"/>
        <w:widowControl/>
        <w:spacing w:before="300" w:after="300" w:line="420" w:lineRule="atLeast"/>
        <w:ind w:firstLineChars="100" w:firstLine="320"/>
        <w:jc w:val="left"/>
        <w:rPr>
          <w:rFonts w:ascii="仿宋_GB2312" w:eastAsia="仿宋_GB2312"/>
          <w:sz w:val="32"/>
          <w:szCs w:val="32"/>
        </w:rPr>
      </w:pPr>
    </w:p>
    <w:sectPr w:rsidR="00FF2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MzNWIwZGJkYThjZDBhNjA4ZGM1NTlhMWU1ODA1ODUifQ=="/>
  </w:docVars>
  <w:rsids>
    <w:rsidRoot w:val="00D60B88"/>
    <w:rsid w:val="00C225C4"/>
    <w:rsid w:val="00D60B88"/>
    <w:rsid w:val="00FF2AC6"/>
    <w:rsid w:val="0CA318D9"/>
    <w:rsid w:val="1D024AD0"/>
    <w:rsid w:val="2C937E57"/>
    <w:rsid w:val="340F105A"/>
    <w:rsid w:val="387302E5"/>
    <w:rsid w:val="394126D8"/>
    <w:rsid w:val="487C288C"/>
    <w:rsid w:val="54944FAB"/>
    <w:rsid w:val="59626F0C"/>
    <w:rsid w:val="630D6093"/>
    <w:rsid w:val="6B8E0140"/>
    <w:rsid w:val="7D3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DBB01"/>
  <w15:docId w15:val="{55F44FE2-0DA6-490E-934B-44D2B601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qFormat/>
    <w:pPr>
      <w:spacing w:after="120"/>
    </w:pPr>
  </w:style>
  <w:style w:type="paragraph" w:styleId="a4">
    <w:name w:val="Body Text First Indent"/>
    <w:basedOn w:val="a0"/>
    <w:next w:val="a"/>
    <w:qFormat/>
    <w:pPr>
      <w:tabs>
        <w:tab w:val="left" w:pos="7560"/>
      </w:tabs>
      <w:topLinePunct/>
      <w:adjustRightInd w:val="0"/>
      <w:snapToGrid w:val="0"/>
      <w:spacing w:before="5" w:after="0" w:line="360" w:lineRule="auto"/>
      <w:ind w:left="108" w:right="266" w:firstLineChars="100" w:firstLine="100"/>
    </w:pPr>
    <w:rPr>
      <w:rFonts w:eastAsia="方正仿宋简体"/>
      <w:snapToGrid w:val="0"/>
      <w:kern w:val="32"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二饼 </dc:creator>
  <cp:lastModifiedBy>胡菁菁</cp:lastModifiedBy>
  <cp:revision>2</cp:revision>
  <dcterms:created xsi:type="dcterms:W3CDTF">2022-04-02T08:29:00Z</dcterms:created>
  <dcterms:modified xsi:type="dcterms:W3CDTF">2023-07-31T03:13:00Z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A5EBEE9B69604832B18B84505B9AAD05</vt:lpwstr>
  </property>
</Properties>
</file>