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平阳县固定资产投资项目节能评估</w:t>
      </w:r>
    </w:p>
    <w:p>
      <w:pPr>
        <w:spacing w:line="600" w:lineRule="exact"/>
        <w:jc w:val="center"/>
        <w:rPr>
          <w:rFonts w:hint="eastAsia" w:ascii="方正小标宋简体" w:hAnsi="方正小标宋简体" w:eastAsia="方正小标宋简体" w:cs="方正小标宋简体"/>
          <w:color w:val="000000"/>
          <w:sz w:val="44"/>
          <w:szCs w:val="44"/>
          <w:lang w:val="en-US" w:eastAsia="zh-CN"/>
        </w:rPr>
      </w:pPr>
      <w:bookmarkStart w:id="0" w:name="_GoBack"/>
      <w:r>
        <w:rPr>
          <w:rFonts w:hint="eastAsia" w:ascii="方正小标宋简体" w:hAnsi="方正小标宋简体" w:eastAsia="方正小标宋简体" w:cs="方正小标宋简体"/>
          <w:color w:val="000000"/>
          <w:sz w:val="44"/>
          <w:szCs w:val="44"/>
          <w:lang w:val="en-US" w:eastAsia="zh-CN"/>
        </w:rPr>
        <w:t>和审查管理暂行办法</w:t>
      </w:r>
    </w:p>
    <w:bookmarkEnd w:id="0"/>
    <w:p>
      <w:pPr>
        <w:spacing w:line="600" w:lineRule="exact"/>
        <w:jc w:val="center"/>
        <w:rPr>
          <w:rFonts w:hint="eastAsia" w:ascii="黑体" w:hAnsi="宋体" w:eastAsia="黑体" w:cs="Times New Roman"/>
          <w:color w:val="000000"/>
          <w:sz w:val="36"/>
          <w:szCs w:val="36"/>
          <w:lang w:val="en-US" w:eastAsia="zh-CN"/>
        </w:rPr>
      </w:pPr>
      <w:r>
        <w:rPr>
          <w:rFonts w:hint="eastAsia" w:ascii="仿宋_GB2312" w:hAnsi="仿宋_GB2312" w:eastAsia="仿宋_GB2312" w:cs="仿宋_GB2312"/>
          <w:b/>
          <w:bCs/>
          <w:kern w:val="2"/>
          <w:sz w:val="36"/>
          <w:szCs w:val="36"/>
          <w:lang w:val="en-US" w:eastAsia="zh-CN" w:bidi="ar-SA"/>
        </w:rPr>
        <w:t>（征求意见稿）</w:t>
      </w:r>
    </w:p>
    <w:p>
      <w:pPr>
        <w:pStyle w:val="9"/>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一、明确节能审查范围和职责</w:t>
      </w:r>
    </w:p>
    <w:p>
      <w:pPr>
        <w:keepNext w:val="0"/>
        <w:keepLines w:val="0"/>
        <w:pageBreakBefore w:val="0"/>
        <w:widowControl w:val="0"/>
        <w:kinsoku/>
        <w:wordWrap/>
        <w:overflowPunct/>
        <w:topLinePunct w:val="0"/>
        <w:autoSpaceDE/>
        <w:autoSpaceDN/>
        <w:bidi w:val="0"/>
        <w:adjustRightInd/>
        <w:snapToGrid/>
        <w:spacing w:beforeAutospacing="0" w:line="600" w:lineRule="exact"/>
        <w:ind w:right="349" w:firstLine="640" w:firstLineChars="200"/>
        <w:textAlignment w:val="auto"/>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t>本办法适用于本县行政区域内新建、扩建、改建、技改的固定资产投资项目节能评估和审查管理工作。县政府节能行政主管部门负责本县固定资产投资项目节能评估的审查和监督管理工作。</w:t>
      </w:r>
    </w:p>
    <w:p>
      <w:pPr>
        <w:keepNext w:val="0"/>
        <w:keepLines w:val="0"/>
        <w:pageBreakBefore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二、加强固定资产投资项目节能审查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600" w:lineRule="exact"/>
        <w:ind w:firstLine="640" w:firstLineChars="200"/>
        <w:jc w:val="left"/>
        <w:textAlignment w:val="auto"/>
        <w:rPr>
          <w:rFonts w:hint="eastAsia" w:ascii="楷体_GB2312" w:hAnsi="宋体" w:eastAsia="楷体_GB2312" w:cs="楷体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（一）实行分级分类管理</w:t>
      </w:r>
    </w:p>
    <w:p>
      <w:pPr>
        <w:keepNext w:val="0"/>
        <w:keepLines w:val="0"/>
        <w:pageBreakBefore w:val="0"/>
        <w:widowControl w:val="0"/>
        <w:kinsoku/>
        <w:wordWrap/>
        <w:overflowPunct/>
        <w:topLinePunct w:val="0"/>
        <w:autoSpaceDE/>
        <w:autoSpaceDN/>
        <w:bidi w:val="0"/>
        <w:adjustRightInd/>
        <w:snapToGrid/>
        <w:spacing w:beforeAutospacing="0" w:line="600" w:lineRule="exact"/>
        <w:ind w:right="349" w:firstLine="640" w:firstLineChars="200"/>
        <w:textAlignment w:val="auto"/>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t>固定资产投资项目节能审查意见是项目开工建设、竣工验收和运营管理的重要依据。政府投资项目应当在报送可行性研究报告前通过节能审查；企业投资项目应当在开工建设前通过节能审查。未按规定进行节能审查或节能审查未通过的项目，建设单位不得开工建设，已经建成的不得投入生产、使用。</w:t>
      </w:r>
    </w:p>
    <w:p>
      <w:pPr>
        <w:keepNext w:val="0"/>
        <w:keepLines w:val="0"/>
        <w:pageBreakBefore w:val="0"/>
        <w:widowControl w:val="0"/>
        <w:kinsoku/>
        <w:wordWrap/>
        <w:overflowPunct/>
        <w:topLinePunct w:val="0"/>
        <w:autoSpaceDE/>
        <w:autoSpaceDN/>
        <w:bidi w:val="0"/>
        <w:adjustRightInd/>
        <w:snapToGrid/>
        <w:spacing w:beforeAutospacing="0" w:line="600" w:lineRule="exact"/>
        <w:ind w:right="349" w:firstLine="640" w:firstLineChars="200"/>
        <w:textAlignment w:val="auto"/>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t>国家发展改革委核报国务院审批或核准，以及国家发展改革委审批或核准的固定资产投资项目，其节能审查由省级节能主管部门负责实施。</w:t>
      </w:r>
    </w:p>
    <w:p>
      <w:pPr>
        <w:keepNext w:val="0"/>
        <w:keepLines w:val="0"/>
        <w:pageBreakBefore w:val="0"/>
        <w:widowControl w:val="0"/>
        <w:kinsoku/>
        <w:wordWrap/>
        <w:overflowPunct/>
        <w:topLinePunct w:val="0"/>
        <w:autoSpaceDE/>
        <w:autoSpaceDN/>
        <w:bidi w:val="0"/>
        <w:adjustRightInd/>
        <w:snapToGrid/>
        <w:spacing w:beforeAutospacing="0" w:line="600" w:lineRule="exact"/>
        <w:ind w:right="349" w:firstLine="640" w:firstLineChars="200"/>
        <w:textAlignment w:val="auto"/>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t>固定资产投资项目年综合能耗1000吨标准煤以上不满5000吨标准煤的（含本数，电量按等价值计算），应对项目可行性研究报告或项目合理用能进行评估，出具合理用能评估报告，报县节能行政主管部门审查。</w:t>
      </w:r>
    </w:p>
    <w:p>
      <w:pPr>
        <w:keepNext w:val="0"/>
        <w:keepLines w:val="0"/>
        <w:pageBreakBefore w:val="0"/>
        <w:widowControl w:val="0"/>
        <w:kinsoku/>
        <w:wordWrap/>
        <w:overflowPunct/>
        <w:topLinePunct w:val="0"/>
        <w:autoSpaceDE/>
        <w:autoSpaceDN/>
        <w:bidi w:val="0"/>
        <w:adjustRightInd/>
        <w:snapToGrid/>
        <w:spacing w:beforeAutospacing="0" w:line="600" w:lineRule="exact"/>
        <w:ind w:right="349" w:firstLine="640" w:firstLineChars="200"/>
        <w:textAlignment w:val="auto"/>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t>年综合能耗5000吨标准煤以上的固定资产投资项目，经县级节能行政主管部门初审后，按照分类报省、市节能行政主管部门审核。</w:t>
      </w:r>
    </w:p>
    <w:p>
      <w:pPr>
        <w:keepNext w:val="0"/>
        <w:keepLines w:val="0"/>
        <w:pageBreakBefore w:val="0"/>
        <w:widowControl w:val="0"/>
        <w:kinsoku/>
        <w:wordWrap/>
        <w:overflowPunct/>
        <w:topLinePunct w:val="0"/>
        <w:autoSpaceDE/>
        <w:autoSpaceDN/>
        <w:bidi w:val="0"/>
        <w:adjustRightInd/>
        <w:snapToGrid/>
        <w:spacing w:beforeAutospacing="0" w:line="600" w:lineRule="exact"/>
        <w:ind w:right="349" w:firstLine="640" w:firstLineChars="200"/>
        <w:textAlignment w:val="auto"/>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t>年综合能耗1000吨标准煤以下的（电量按等价值计算），节能评估和审查实行简易程序，需填报固定资产投资项目节能登记备案表及测算依据，由县节能行政主管部门进行直接节能审查，并于三个工作日内出具节能审查意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600" w:lineRule="exact"/>
        <w:ind w:firstLine="640" w:firstLineChars="200"/>
        <w:jc w:val="left"/>
        <w:textAlignment w:val="auto"/>
        <w:rPr>
          <w:rFonts w:hint="eastAsia" w:ascii="楷体_GB2312" w:hAnsi="宋体" w:eastAsia="楷体_GB2312" w:cs="楷体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（二）明确节能报告内容</w:t>
      </w:r>
    </w:p>
    <w:p>
      <w:pPr>
        <w:keepNext w:val="0"/>
        <w:keepLines w:val="0"/>
        <w:pageBreakBefore w:val="0"/>
        <w:widowControl w:val="0"/>
        <w:kinsoku/>
        <w:wordWrap/>
        <w:overflowPunct/>
        <w:topLinePunct w:val="0"/>
        <w:autoSpaceDE/>
        <w:autoSpaceDN/>
        <w:bidi w:val="0"/>
        <w:adjustRightInd/>
        <w:snapToGrid/>
        <w:spacing w:beforeAutospacing="0" w:line="600" w:lineRule="exact"/>
        <w:ind w:right="349" w:firstLine="640" w:firstLineChars="200"/>
        <w:textAlignment w:val="auto"/>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t>建设单位应当编制固定资产投资项目节能报告（年综合能耗1000吨标准煤以下的填写固定资产投资项目节能登记备案表，详见附件1）。节能报告应当包括下列内容：分析评价依据；项目建设方案的节能分析和比选，包括总平面布置、生产工艺、用能工艺、用能设备和能源计量器具等方面；项目能源消费量、能源消费结构、能源利用效率等方面的分析；项目执行强制性节能标准情况；明确能耗（用煤）减量或等量替代方案；选取节能效果好、技术经济可行的节能技术和管理措施；屋顶光伏等可再生能源利用情况；对所在地完成能源消耗总量和强度目标、煤炭消费减量替代目标的影响等方面的分析评价等。</w:t>
      </w:r>
    </w:p>
    <w:p>
      <w:pPr>
        <w:keepNext w:val="0"/>
        <w:keepLines w:val="0"/>
        <w:pageBreakBefore w:val="0"/>
        <w:widowControl w:val="0"/>
        <w:kinsoku/>
        <w:wordWrap/>
        <w:overflowPunct/>
        <w:topLinePunct w:val="0"/>
        <w:autoSpaceDE/>
        <w:autoSpaceDN/>
        <w:bidi w:val="0"/>
        <w:adjustRightInd/>
        <w:snapToGrid/>
        <w:spacing w:beforeAutospacing="0" w:line="600" w:lineRule="exact"/>
        <w:ind w:right="349" w:firstLine="640" w:firstLineChars="200"/>
        <w:textAlignment w:val="auto"/>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t>对单位工业增加值能耗（工业增加值采用可比价，电力折标系数按等价值，以统计部门每年公布上年度全省火力发电平均发电标准煤耗计算，下同）高于全省控制目标的新增能耗项目，严格落实能耗减量或等量替代措施。对新增用煤项目，严格实施煤炭减量或等量替代政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600" w:lineRule="exact"/>
        <w:ind w:firstLine="640" w:firstLineChars="200"/>
        <w:jc w:val="left"/>
        <w:textAlignment w:val="auto"/>
        <w:rPr>
          <w:rFonts w:hint="eastAsia" w:ascii="楷体_GB2312" w:hAnsi="宋体" w:eastAsia="楷体_GB2312" w:cs="楷体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（三）规范节能审查程序</w:t>
      </w:r>
    </w:p>
    <w:p>
      <w:pPr>
        <w:keepNext w:val="0"/>
        <w:keepLines w:val="0"/>
        <w:pageBreakBefore w:val="0"/>
        <w:widowControl w:val="0"/>
        <w:kinsoku/>
        <w:wordWrap/>
        <w:overflowPunct/>
        <w:topLinePunct w:val="0"/>
        <w:autoSpaceDE/>
        <w:autoSpaceDN/>
        <w:bidi w:val="0"/>
        <w:adjustRightInd/>
        <w:snapToGrid/>
        <w:spacing w:beforeAutospacing="0" w:line="600" w:lineRule="exact"/>
        <w:ind w:right="349" w:firstLine="640" w:firstLineChars="200"/>
        <w:textAlignment w:val="auto"/>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t>节能主管部门应当自收到申报材料5个工作日内作出受理或不予受理决定；申报材料不齐全或者不符合法定形式的，应当当场或者在5个工作日内一次性告知申请人需要补正的全部内容，逾期不告知的，自收到申报材料之日起即为受理。</w:t>
      </w:r>
    </w:p>
    <w:p>
      <w:pPr>
        <w:keepNext w:val="0"/>
        <w:keepLines w:val="0"/>
        <w:pageBreakBefore w:val="0"/>
        <w:widowControl w:val="0"/>
        <w:kinsoku/>
        <w:wordWrap/>
        <w:overflowPunct/>
        <w:topLinePunct w:val="0"/>
        <w:autoSpaceDE/>
        <w:autoSpaceDN/>
        <w:bidi w:val="0"/>
        <w:adjustRightInd/>
        <w:snapToGrid/>
        <w:spacing w:beforeAutospacing="0" w:line="600" w:lineRule="exact"/>
        <w:ind w:right="349" w:firstLine="640" w:firstLineChars="200"/>
        <w:textAlignment w:val="auto"/>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t>节能主管部门应当自正式受理申报材料后8个工作日内作出是否准予行政许可的决定。符合审查条件的，节能主管部门出具节能审查意见；不符合审查条件的，节能主管部门应当出具不予行政许可的书面通知，并说明理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600" w:lineRule="exact"/>
        <w:ind w:firstLine="640" w:firstLineChars="200"/>
        <w:jc w:val="left"/>
        <w:textAlignment w:val="auto"/>
        <w:rPr>
          <w:rFonts w:hint="eastAsia" w:ascii="楷体_GB2312" w:hAnsi="宋体" w:eastAsia="楷体_GB2312" w:cs="楷体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（四）明确节能审查内容</w:t>
      </w:r>
    </w:p>
    <w:p>
      <w:pPr>
        <w:keepNext w:val="0"/>
        <w:keepLines w:val="0"/>
        <w:pageBreakBefore w:val="0"/>
        <w:widowControl w:val="0"/>
        <w:kinsoku/>
        <w:wordWrap/>
        <w:overflowPunct/>
        <w:topLinePunct w:val="0"/>
        <w:autoSpaceDE/>
        <w:autoSpaceDN/>
        <w:bidi w:val="0"/>
        <w:adjustRightInd/>
        <w:snapToGrid/>
        <w:spacing w:beforeAutospacing="0" w:line="600" w:lineRule="exact"/>
        <w:ind w:right="349" w:firstLine="640" w:firstLineChars="200"/>
        <w:textAlignment w:val="auto"/>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t>节能主管部门审查项目节能报告时，主要对以下内容进行审查：项目是否符合节能有关法律法规、标准规范、政策；项目用能分析是否客观准确、方法是否科学、结论是否准确；节能措施是否合理可行；项目的能源消费量和能效水平是否满足本地区能源消费总量和强度“双控”管理要求等；对纺织业、非金属矿物制品业、金属冶炼和压延加工业、化学原料及化学制品制造业、石油加工炼焦和核燃料加工业、造纸和纸制品业、化学纤维制造业、电力热力的生产和供应业、5G网络、数据中心等高耗能项目实行限批缓批。</w:t>
      </w:r>
    </w:p>
    <w:p>
      <w:pPr>
        <w:keepNext w:val="0"/>
        <w:keepLines w:val="0"/>
        <w:pageBreakBefore w:val="0"/>
        <w:widowControl w:val="0"/>
        <w:kinsoku/>
        <w:wordWrap/>
        <w:overflowPunct/>
        <w:topLinePunct w:val="0"/>
        <w:autoSpaceDE/>
        <w:autoSpaceDN/>
        <w:bidi w:val="0"/>
        <w:adjustRightInd/>
        <w:snapToGrid/>
        <w:spacing w:beforeAutospacing="0" w:line="600" w:lineRule="exact"/>
        <w:ind w:right="349" w:firstLine="640" w:firstLineChars="200"/>
        <w:textAlignment w:val="auto"/>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t>项目节能审查意见的内容应当包括：能源（煤炭）消费量、应达到的能效水平、能耗（用煤）减量或等量平衡方案、落实节能措施、节能方面的相关建议、有效期限等。节能审查意见自印发之日起2年内有效。</w:t>
      </w:r>
    </w:p>
    <w:p>
      <w:pPr>
        <w:keepNext w:val="0"/>
        <w:keepLines w:val="0"/>
        <w:pageBreakBefore w:val="0"/>
        <w:widowControl w:val="0"/>
        <w:kinsoku/>
        <w:wordWrap/>
        <w:overflowPunct/>
        <w:topLinePunct w:val="0"/>
        <w:autoSpaceDE/>
        <w:autoSpaceDN/>
        <w:bidi w:val="0"/>
        <w:adjustRightInd/>
        <w:snapToGrid/>
        <w:spacing w:beforeAutospacing="0" w:line="600" w:lineRule="exact"/>
        <w:ind w:right="349" w:firstLine="640" w:firstLineChars="200"/>
        <w:textAlignment w:val="auto"/>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t>除涉及国家秘密的项目外，固定资产投资项目节能审查应纳入投资项目在线审批监管平台统一管理，实行网上申报、受理、审批和监管，实现审查过程和结果的可查询、可监督，并纳入浙江省投资项目审批效能监测，通过投资项目在线审批监管平台实时监管。</w:t>
      </w:r>
    </w:p>
    <w:p>
      <w:pPr>
        <w:keepNext w:val="0"/>
        <w:keepLines w:val="0"/>
        <w:pageBreakBefore w:val="0"/>
        <w:widowControl w:val="0"/>
        <w:kinsoku/>
        <w:wordWrap/>
        <w:overflowPunct/>
        <w:topLinePunct w:val="0"/>
        <w:autoSpaceDE/>
        <w:autoSpaceDN/>
        <w:bidi w:val="0"/>
        <w:adjustRightInd/>
        <w:snapToGrid/>
        <w:spacing w:beforeAutospacing="0" w:line="600" w:lineRule="exact"/>
        <w:ind w:right="349" w:firstLine="640" w:firstLineChars="200"/>
        <w:textAlignment w:val="auto"/>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t>按规定需要进行节能审查的固定资产投资项目，建设单位应当委托有资质的机构编制该项目节能评估报告。建设单位和节能评估报告编制机构共同对节能评估报告的真实性和有效性负责。</w:t>
      </w:r>
    </w:p>
    <w:p>
      <w:pPr>
        <w:keepNext w:val="0"/>
        <w:keepLines w:val="0"/>
        <w:pageBreakBefore w:val="0"/>
        <w:widowControl w:val="0"/>
        <w:kinsoku/>
        <w:wordWrap/>
        <w:overflowPunct/>
        <w:topLinePunct w:val="0"/>
        <w:autoSpaceDE/>
        <w:autoSpaceDN/>
        <w:bidi w:val="0"/>
        <w:adjustRightInd/>
        <w:snapToGrid/>
        <w:spacing w:beforeAutospacing="0" w:line="600" w:lineRule="exact"/>
        <w:ind w:right="349" w:firstLine="640" w:firstLineChars="200"/>
        <w:textAlignment w:val="auto"/>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t>参与项目可行性研究报告或项目节能编制的单位和个人不得同时承担该项目的用能评估工作。</w:t>
      </w:r>
    </w:p>
    <w:p>
      <w:pPr>
        <w:keepNext w:val="0"/>
        <w:keepLines w:val="0"/>
        <w:pageBreakBefore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三、加强固定资产投资项目节能验收</w:t>
      </w:r>
    </w:p>
    <w:p>
      <w:pPr>
        <w:keepNext w:val="0"/>
        <w:keepLines w:val="0"/>
        <w:pageBreakBefore w:val="0"/>
        <w:widowControl w:val="0"/>
        <w:kinsoku/>
        <w:wordWrap/>
        <w:overflowPunct/>
        <w:topLinePunct w:val="0"/>
        <w:autoSpaceDE/>
        <w:autoSpaceDN/>
        <w:bidi w:val="0"/>
        <w:adjustRightInd/>
        <w:snapToGrid/>
        <w:spacing w:beforeAutospacing="0" w:line="600" w:lineRule="exact"/>
        <w:ind w:right="349" w:firstLine="640" w:firstLineChars="200"/>
        <w:textAlignment w:val="auto"/>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t>通过节能审查的固定资产投资项目投入生产、使用前，建设单位应当组织节能验收，验收人员应由具备节能验收工作能力的专业技术人员组成。项目通过节能验收后，建设单位应当将节能验收报告、验收意见在20个工作日内告知出具节能审查意见的节能主管部门。未经节能验收或者验收不合格的项目，建设单位不得擅自投入生产、使用，在完成整改后再次组织节能验收。</w:t>
      </w:r>
    </w:p>
    <w:p>
      <w:pPr>
        <w:keepNext w:val="0"/>
        <w:keepLines w:val="0"/>
        <w:pageBreakBefore w:val="0"/>
        <w:widowControl w:val="0"/>
        <w:kinsoku/>
        <w:wordWrap/>
        <w:overflowPunct/>
        <w:topLinePunct w:val="0"/>
        <w:autoSpaceDE/>
        <w:autoSpaceDN/>
        <w:bidi w:val="0"/>
        <w:adjustRightInd/>
        <w:snapToGrid/>
        <w:spacing w:beforeAutospacing="0" w:line="600" w:lineRule="exact"/>
        <w:ind w:right="349" w:firstLine="640" w:firstLineChars="200"/>
        <w:textAlignment w:val="auto"/>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t>验收内容主要包括：依据项目实际建成情况，测算项目年综合能源消费量（煤炭消费量）及能耗（用煤）平衡方案是否满足节能审查要求；以节能审查意见批复时确定的项目主要能效指标或主要工序（装置）能效指标，对照项目的性能试验数据或运行数据等，验收项目的主要能效指标是否落实节能审查要求；项目建设规模、主要用能工艺以及主要用能设备、通用设备等的数量、型号、能效等是否落实节能审查意见要求；项目节能技术和管理措施是否落实节能审查意见要求；项目能源计量器具配备情况是否落实节能审查意见要求等。</w:t>
      </w:r>
    </w:p>
    <w:p>
      <w:pPr>
        <w:keepNext w:val="0"/>
        <w:keepLines w:val="0"/>
        <w:pageBreakBefore w:val="0"/>
        <w:widowControl w:val="0"/>
        <w:kinsoku/>
        <w:wordWrap/>
        <w:overflowPunct/>
        <w:topLinePunct w:val="0"/>
        <w:autoSpaceDE/>
        <w:autoSpaceDN/>
        <w:bidi w:val="0"/>
        <w:adjustRightInd/>
        <w:snapToGrid/>
        <w:spacing w:beforeAutospacing="0" w:line="600" w:lineRule="exact"/>
        <w:ind w:right="349" w:firstLine="640" w:firstLineChars="200"/>
        <w:textAlignment w:val="auto"/>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t>实行承诺备案管理的固定资产投资项目，节能主管部门应当在项目投入生产、使用前，对建设单位是否符合承诺备案内容进行检查和验收；经检查和验收与承诺备案内容不符的，责令限期整改；整改后仍不符合承诺备案内容的，撤销节能审查意见。</w:t>
      </w:r>
    </w:p>
    <w:p>
      <w:pPr>
        <w:keepNext w:val="0"/>
        <w:keepLines w:val="0"/>
        <w:pageBreakBefore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四、强化事中事后监管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600" w:lineRule="exact"/>
        <w:ind w:firstLine="640" w:firstLineChars="200"/>
        <w:jc w:val="left"/>
        <w:textAlignment w:val="auto"/>
        <w:rPr>
          <w:rFonts w:hint="eastAsia" w:ascii="楷体_GB2312" w:hAnsi="宋体" w:eastAsia="楷体_GB2312" w:cs="楷体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（一）明确监督检查内容</w:t>
      </w:r>
    </w:p>
    <w:p>
      <w:pPr>
        <w:keepNext w:val="0"/>
        <w:keepLines w:val="0"/>
        <w:pageBreakBefore w:val="0"/>
        <w:widowControl w:val="0"/>
        <w:kinsoku/>
        <w:wordWrap/>
        <w:overflowPunct/>
        <w:topLinePunct w:val="0"/>
        <w:autoSpaceDE/>
        <w:autoSpaceDN/>
        <w:bidi w:val="0"/>
        <w:adjustRightInd/>
        <w:snapToGrid/>
        <w:spacing w:beforeAutospacing="0" w:line="600" w:lineRule="exact"/>
        <w:ind w:right="349" w:firstLine="640" w:firstLineChars="200"/>
        <w:textAlignment w:val="auto"/>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t>节能主管部门应当按照“谁审查、谁监管”的原则，对项目节能验收和节能审查意见落实情况进行监督检查，对本行政区域内重大项目节能审查意见落实情况进行不定期抽查。</w:t>
      </w:r>
    </w:p>
    <w:p>
      <w:pPr>
        <w:keepNext w:val="0"/>
        <w:keepLines w:val="0"/>
        <w:pageBreakBefore w:val="0"/>
        <w:widowControl w:val="0"/>
        <w:kinsoku/>
        <w:wordWrap/>
        <w:overflowPunct/>
        <w:topLinePunct w:val="0"/>
        <w:autoSpaceDE/>
        <w:autoSpaceDN/>
        <w:bidi w:val="0"/>
        <w:adjustRightInd/>
        <w:snapToGrid/>
        <w:spacing w:beforeAutospacing="0" w:line="600" w:lineRule="exact"/>
        <w:ind w:right="349" w:firstLine="640" w:firstLineChars="200"/>
        <w:textAlignment w:val="auto"/>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t>能源监察机构应当将本行政区域内当年完成节能验收的项目作为专项监察事项，列入本年度或下一年节能监察计划，重点核查能源消费总量、能效水平以及节能措施等是否达到节能审查意见批复时确定的要求。</w:t>
      </w:r>
    </w:p>
    <w:p>
      <w:pPr>
        <w:keepNext w:val="0"/>
        <w:keepLines w:val="0"/>
        <w:pageBreakBefore w:val="0"/>
        <w:widowControl w:val="0"/>
        <w:kinsoku/>
        <w:wordWrap/>
        <w:overflowPunct/>
        <w:topLinePunct w:val="0"/>
        <w:autoSpaceDE/>
        <w:autoSpaceDN/>
        <w:bidi w:val="0"/>
        <w:adjustRightInd/>
        <w:snapToGrid/>
        <w:spacing w:beforeAutospacing="0" w:line="600" w:lineRule="exact"/>
        <w:ind w:right="349" w:firstLine="640" w:firstLineChars="200"/>
        <w:textAlignment w:val="auto"/>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t>质监、供电、供水等部门要协助把关，在办理锅炉安装、供电、供水手续时，审查项目是否通过节能审查，对未进行节能审查或未能通过审查的项目，及时告知节能行政主管部门，其中对年综合能耗1000吨标准煤以上和安装4T以上锅炉的项目，必须取得节能行政主管部门的审查意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600" w:lineRule="exact"/>
        <w:ind w:firstLine="640" w:firstLineChars="200"/>
        <w:jc w:val="left"/>
        <w:textAlignment w:val="auto"/>
        <w:rPr>
          <w:rFonts w:hint="eastAsia" w:ascii="楷体_GB2312" w:hAnsi="宋体" w:eastAsia="楷体_GB2312" w:cs="楷体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（二）加强后续监管处理</w:t>
      </w:r>
    </w:p>
    <w:p>
      <w:pPr>
        <w:keepNext w:val="0"/>
        <w:keepLines w:val="0"/>
        <w:pageBreakBefore w:val="0"/>
        <w:widowControl w:val="0"/>
        <w:kinsoku/>
        <w:wordWrap/>
        <w:overflowPunct/>
        <w:topLinePunct w:val="0"/>
        <w:autoSpaceDE/>
        <w:autoSpaceDN/>
        <w:bidi w:val="0"/>
        <w:adjustRightInd/>
        <w:snapToGrid/>
        <w:spacing w:beforeAutospacing="0" w:line="600" w:lineRule="exact"/>
        <w:ind w:right="349" w:firstLine="640" w:firstLineChars="200"/>
        <w:textAlignment w:val="auto"/>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t>通过节能审查的固定资产投资项目，其建设内容、产能规模、能效水平、用能方式等发生重大变化，或年综合能源消费量超过节能审查意见规定水平10%以上的，建设单位应当向节能审查机关提出变更申请。以拆分项目、提供虚假材料等不正当手段通过节能审查的固定资产投资项目，由节能主管部门撤销项目的节能审查意见。未落实节能审查意见要求的项目，节能主管部门责令建设单位限期整改。不能改正或逾期不改正的，节能主管部门按照法律法规的有关规定进行处罚。</w:t>
      </w:r>
    </w:p>
    <w:p>
      <w:pPr>
        <w:keepNext w:val="0"/>
        <w:keepLines w:val="0"/>
        <w:pageBreakBefore w:val="0"/>
        <w:widowControl w:val="0"/>
        <w:kinsoku/>
        <w:wordWrap/>
        <w:overflowPunct/>
        <w:topLinePunct w:val="0"/>
        <w:autoSpaceDE/>
        <w:autoSpaceDN/>
        <w:bidi w:val="0"/>
        <w:adjustRightInd/>
        <w:snapToGrid/>
        <w:spacing w:beforeAutospacing="0" w:line="600" w:lineRule="exact"/>
        <w:ind w:right="349" w:firstLine="640" w:firstLineChars="200"/>
        <w:textAlignment w:val="auto"/>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t>不单独进行节能审查的项目，建设内容、能效水平等发生变动，使年综合能源消费量超过1000吨标准煤以上的，建设单位应申请节能审查。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600" w:lineRule="exact"/>
        <w:ind w:firstLine="640" w:firstLineChars="200"/>
        <w:jc w:val="left"/>
        <w:textAlignment w:val="auto"/>
        <w:rPr>
          <w:rFonts w:hint="eastAsia" w:ascii="楷体_GB2312" w:hAnsi="宋体" w:eastAsia="楷体_GB2312" w:cs="楷体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（三）加强统计分析</w:t>
      </w:r>
    </w:p>
    <w:p>
      <w:pPr>
        <w:keepNext w:val="0"/>
        <w:keepLines w:val="0"/>
        <w:pageBreakBefore w:val="0"/>
        <w:widowControl w:val="0"/>
        <w:kinsoku/>
        <w:wordWrap/>
        <w:overflowPunct/>
        <w:topLinePunct w:val="0"/>
        <w:autoSpaceDE/>
        <w:autoSpaceDN/>
        <w:bidi w:val="0"/>
        <w:adjustRightInd/>
        <w:snapToGrid/>
        <w:spacing w:beforeAutospacing="0" w:line="600" w:lineRule="exact"/>
        <w:ind w:right="349" w:firstLine="640" w:firstLineChars="200"/>
        <w:textAlignment w:val="auto"/>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t>节能主管部门应当加强节能审查信息的统计分析，按季度向上一级节能主管部门报送本地区固定资产投资项目和区域节能审查、承诺备案情况。省级节能主管部门实施全省节能审查信息动态监管，对各地节能审查实施情况进行不定期巡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600" w:lineRule="exact"/>
        <w:ind w:firstLine="640" w:firstLineChars="200"/>
        <w:jc w:val="left"/>
        <w:textAlignment w:val="auto"/>
        <w:rPr>
          <w:rFonts w:hint="eastAsia" w:ascii="楷体_GB2312" w:hAnsi="宋体" w:eastAsia="楷体_GB2312" w:cs="楷体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（四）强化信用管理</w:t>
      </w:r>
    </w:p>
    <w:p>
      <w:pPr>
        <w:keepNext w:val="0"/>
        <w:keepLines w:val="0"/>
        <w:pageBreakBefore w:val="0"/>
        <w:widowControl w:val="0"/>
        <w:kinsoku/>
        <w:wordWrap/>
        <w:overflowPunct/>
        <w:topLinePunct w:val="0"/>
        <w:autoSpaceDE/>
        <w:autoSpaceDN/>
        <w:bidi w:val="0"/>
        <w:adjustRightInd/>
        <w:snapToGrid/>
        <w:spacing w:beforeAutospacing="0" w:line="600" w:lineRule="exact"/>
        <w:ind w:right="349" w:firstLine="640" w:firstLineChars="200"/>
        <w:textAlignment w:val="auto"/>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t>节能主管部门应当对建设单位、中介机构等的违法违规行为进行记录和认定，实行节能信用监管评价，通过“信用浙江”等公共信用信息平台向社会披露。在省行政执法监管平台上开展节能监察“双随机、一公开”抽查时，根据节能信用监管评价结果实施分类分级监管。</w:t>
      </w:r>
    </w:p>
    <w:p>
      <w:pPr>
        <w:keepNext w:val="0"/>
        <w:keepLines w:val="0"/>
        <w:pageBreakBefore w:val="0"/>
        <w:widowControl w:val="0"/>
        <w:kinsoku/>
        <w:wordWrap/>
        <w:overflowPunct/>
        <w:topLinePunct w:val="0"/>
        <w:autoSpaceDE/>
        <w:autoSpaceDN/>
        <w:bidi w:val="0"/>
        <w:adjustRightInd/>
        <w:snapToGrid/>
        <w:spacing w:beforeAutospacing="0" w:line="600" w:lineRule="exact"/>
        <w:ind w:right="349" w:firstLine="640" w:firstLineChars="200"/>
        <w:textAlignment w:val="auto"/>
        <w:rPr>
          <w:rFonts w:hint="default"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u w:val="none"/>
          <w:shd w:val="clear"/>
          <w:lang w:val="en-US" w:eastAsia="zh-CN" w:bidi="ar-SA"/>
          <w14:textFill>
            <w14:solidFill>
              <w14:schemeClr w14:val="tx1"/>
            </w14:solidFill>
          </w14:textFill>
        </w:rPr>
        <w:t>本办法实施后，国家出台新规定的，从其规定。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00" w:afterAutospacing="0" w:line="600" w:lineRule="exact"/>
        <w:ind w:left="0" w:firstLine="420"/>
        <w:textAlignment w:val="auto"/>
        <w:rPr>
          <w:rFonts w:hint="eastAsia" w:ascii="Calibri" w:hAnsi="Calibri" w:eastAsia="仿宋_GB2312" w:cs="宋体"/>
          <w:color w:val="000000"/>
          <w:kern w:val="2"/>
          <w:sz w:val="32"/>
          <w:szCs w:val="32"/>
          <w:lang w:val="en-US" w:eastAsia="zh-CN" w:bidi="ar-SA"/>
        </w:rPr>
      </w:pPr>
    </w:p>
    <w:p>
      <w:p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Times New Roman" w:hAnsi="Times New Roman" w:eastAsia="仿宋_GB2312" w:cs="Times New Roman"/>
          <w:sz w:val="32"/>
          <w:szCs w:val="32"/>
        </w:rPr>
        <w:br w:type="page"/>
      </w:r>
    </w:p>
    <w:p>
      <w:pPr>
        <w:numPr>
          <w:ilvl w:val="0"/>
          <w:numId w:val="0"/>
        </w:numPr>
        <w:spacing w:line="600" w:lineRule="exact"/>
        <w:rPr>
          <w:rFonts w:hint="eastAsia" w:eastAsia="黑体"/>
          <w:color w:val="auto"/>
          <w:sz w:val="32"/>
          <w:szCs w:val="32"/>
          <w:u w:val="none"/>
          <w:lang w:eastAsia="zh-CN"/>
        </w:rPr>
      </w:pPr>
      <w:r>
        <w:rPr>
          <w:rFonts w:eastAsia="黑体"/>
          <w:color w:val="auto"/>
          <w:sz w:val="32"/>
          <w:szCs w:val="32"/>
          <w:u w:val="none"/>
        </w:rPr>
        <w:t>附件</w:t>
      </w:r>
      <w:r>
        <w:rPr>
          <w:rFonts w:hint="eastAsia" w:eastAsia="黑体"/>
          <w:color w:val="auto"/>
          <w:sz w:val="32"/>
          <w:szCs w:val="32"/>
          <w:u w:val="none"/>
          <w:lang w:val="en-US" w:eastAsia="zh-CN"/>
        </w:rPr>
        <w:t>1</w:t>
      </w:r>
    </w:p>
    <w:p>
      <w:pPr>
        <w:spacing w:line="600" w:lineRule="exact"/>
        <w:ind w:right="320"/>
        <w:jc w:val="center"/>
        <w:rPr>
          <w:rFonts w:hint="eastAsia" w:ascii="方正黑体简体" w:hAnsi="方正黑体简体" w:eastAsia="方正黑体简体" w:cs="方正黑体简体"/>
          <w:spacing w:val="0"/>
          <w:sz w:val="44"/>
          <w:szCs w:val="44"/>
          <w:lang w:val="en-US" w:eastAsia="zh-CN"/>
        </w:rPr>
      </w:pPr>
      <w:r>
        <w:rPr>
          <w:rFonts w:hint="eastAsia" w:ascii="方正黑体简体" w:hAnsi="方正黑体简体" w:eastAsia="方正黑体简体" w:cs="方正黑体简体"/>
          <w:spacing w:val="0"/>
          <w:sz w:val="44"/>
          <w:szCs w:val="44"/>
          <w:lang w:val="en-US" w:eastAsia="zh-CN"/>
        </w:rPr>
        <w:t>固定资产投资项目节能登记备案表</w:t>
      </w:r>
    </w:p>
    <w:p>
      <w:pPr>
        <w:pStyle w:val="9"/>
        <w:ind w:left="0" w:leftChars="0" w:firstLine="0" w:firstLineChars="0"/>
        <w:jc w:val="both"/>
        <w:rPr>
          <w:rFonts w:hint="eastAsia" w:ascii="Times New Roman" w:hAnsi="Times New Roman" w:eastAsia="仿宋_GB2312" w:cs="Times New Roman"/>
          <w:kern w:val="2"/>
          <w:sz w:val="32"/>
          <w:szCs w:val="32"/>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8"/>
          <w:szCs w:val="28"/>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8"/>
          <w:szCs w:val="28"/>
          <w:u w:val="none"/>
          <w:shd w:val="clear"/>
          <w:lang w:val="en-US" w:eastAsia="zh-CN" w:bidi="ar-SA"/>
          <w14:textFill>
            <w14:solidFill>
              <w14:schemeClr w14:val="tx1"/>
            </w14:solidFill>
          </w14:textFill>
        </w:rPr>
        <w:t>项目建设单位（盖章）：                  填表日期：   年  月  日</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766"/>
        <w:gridCol w:w="1187"/>
        <w:gridCol w:w="1307"/>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420" w:type="dxa"/>
            <w:vMerge w:val="restart"/>
            <w:vAlign w:val="center"/>
          </w:tcPr>
          <w:p>
            <w:pPr>
              <w:pStyle w:val="9"/>
              <w:ind w:left="0" w:leftChars="0" w:firstLine="0" w:firstLineChars="0"/>
              <w:jc w:val="cente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项目概况</w:t>
            </w:r>
          </w:p>
        </w:tc>
        <w:tc>
          <w:tcPr>
            <w:tcW w:w="1766"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项目名称</w:t>
            </w:r>
          </w:p>
        </w:tc>
        <w:tc>
          <w:tcPr>
            <w:tcW w:w="5336" w:type="dxa"/>
            <w:gridSpan w:val="4"/>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20" w:type="dxa"/>
            <w:vMerge w:val="continue"/>
          </w:tcPr>
          <w:p>
            <w:pPr>
              <w:pStyle w:val="9"/>
              <w:ind w:left="0" w:leftChars="0" w:firstLine="0" w:firstLineChars="0"/>
              <w:jc w:val="both"/>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766"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项目所属区域</w:t>
            </w:r>
          </w:p>
        </w:tc>
        <w:tc>
          <w:tcPr>
            <w:tcW w:w="5336" w:type="dxa"/>
            <w:gridSpan w:val="4"/>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tcPr>
          <w:p>
            <w:pPr>
              <w:pStyle w:val="9"/>
              <w:ind w:left="0" w:leftChars="0" w:firstLine="0" w:firstLineChars="0"/>
              <w:jc w:val="both"/>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766"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通讯地址</w:t>
            </w:r>
          </w:p>
        </w:tc>
        <w:tc>
          <w:tcPr>
            <w:tcW w:w="5336" w:type="dxa"/>
            <w:gridSpan w:val="4"/>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tcPr>
          <w:p>
            <w:pPr>
              <w:pStyle w:val="9"/>
              <w:ind w:left="0" w:leftChars="0" w:firstLine="0" w:firstLineChars="0"/>
              <w:jc w:val="both"/>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766"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联系人</w:t>
            </w:r>
          </w:p>
        </w:tc>
        <w:tc>
          <w:tcPr>
            <w:tcW w:w="2494"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联系方式</w:t>
            </w: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tcPr>
          <w:p>
            <w:pPr>
              <w:pStyle w:val="9"/>
              <w:ind w:left="0" w:leftChars="0" w:firstLine="0" w:firstLineChars="0"/>
              <w:jc w:val="both"/>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766"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项目建设地点</w:t>
            </w:r>
          </w:p>
        </w:tc>
        <w:tc>
          <w:tcPr>
            <w:tcW w:w="2494"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项目总投资（万元）</w:t>
            </w: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tcPr>
          <w:p>
            <w:pPr>
              <w:pStyle w:val="9"/>
              <w:ind w:left="0" w:leftChars="0" w:firstLine="0" w:firstLineChars="0"/>
              <w:jc w:val="both"/>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766"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项目所属行业类别及代码</w:t>
            </w:r>
          </w:p>
        </w:tc>
        <w:tc>
          <w:tcPr>
            <w:tcW w:w="2494"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建筑面积（m2）</w:t>
            </w: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tcPr>
          <w:p>
            <w:pPr>
              <w:pStyle w:val="9"/>
              <w:ind w:left="0" w:leftChars="0" w:firstLine="0" w:firstLineChars="0"/>
              <w:jc w:val="both"/>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766"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拟开工时间</w:t>
            </w:r>
          </w:p>
        </w:tc>
        <w:tc>
          <w:tcPr>
            <w:tcW w:w="2494"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拟投产时间</w:t>
            </w: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tcPr>
          <w:p>
            <w:pPr>
              <w:pStyle w:val="9"/>
              <w:ind w:left="0" w:leftChars="0" w:firstLine="0" w:firstLineChars="0"/>
              <w:jc w:val="both"/>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766"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项目性质</w:t>
            </w:r>
          </w:p>
        </w:tc>
        <w:tc>
          <w:tcPr>
            <w:tcW w:w="5336" w:type="dxa"/>
            <w:gridSpan w:val="4"/>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新建□   改建□   扩建□   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tcPr>
          <w:p>
            <w:pPr>
              <w:pStyle w:val="9"/>
              <w:ind w:left="0" w:leftChars="0" w:firstLine="0" w:firstLineChars="0"/>
              <w:jc w:val="both"/>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766"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投资管理类别</w:t>
            </w:r>
          </w:p>
        </w:tc>
        <w:tc>
          <w:tcPr>
            <w:tcW w:w="5336" w:type="dxa"/>
            <w:gridSpan w:val="4"/>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 xml:space="preserve">审批□   核准□   备案□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年耗能量</w:t>
            </w:r>
          </w:p>
        </w:tc>
        <w:tc>
          <w:tcPr>
            <w:tcW w:w="1766"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能源种类</w:t>
            </w:r>
          </w:p>
        </w:tc>
        <w:tc>
          <w:tcPr>
            <w:tcW w:w="118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计量单位</w:t>
            </w:r>
          </w:p>
        </w:tc>
        <w:tc>
          <w:tcPr>
            <w:tcW w:w="130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年实物量</w:t>
            </w: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折标系数</w:t>
            </w: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年耗能量（tce）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766"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电力</w:t>
            </w:r>
          </w:p>
        </w:tc>
        <w:tc>
          <w:tcPr>
            <w:tcW w:w="1187"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307"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当量值</w:t>
            </w: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766"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187"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307"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等价值</w:t>
            </w: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766"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煤炭</w:t>
            </w:r>
          </w:p>
        </w:tc>
        <w:tc>
          <w:tcPr>
            <w:tcW w:w="118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30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766"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天然气</w:t>
            </w:r>
          </w:p>
        </w:tc>
        <w:tc>
          <w:tcPr>
            <w:tcW w:w="118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30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766"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热力</w:t>
            </w:r>
          </w:p>
        </w:tc>
        <w:tc>
          <w:tcPr>
            <w:tcW w:w="118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30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766"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耗能工质类</w:t>
            </w:r>
          </w:p>
        </w:tc>
        <w:tc>
          <w:tcPr>
            <w:tcW w:w="118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30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766"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w:t>
            </w:r>
          </w:p>
        </w:tc>
        <w:tc>
          <w:tcPr>
            <w:tcW w:w="118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30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766"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项目耗能总量（tce）</w:t>
            </w:r>
          </w:p>
        </w:tc>
        <w:tc>
          <w:tcPr>
            <w:tcW w:w="118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30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能效指标</w:t>
            </w:r>
          </w:p>
        </w:tc>
        <w:tc>
          <w:tcPr>
            <w:tcW w:w="1766"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产量</w:t>
            </w:r>
          </w:p>
        </w:tc>
        <w:tc>
          <w:tcPr>
            <w:tcW w:w="118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30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766"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单位产品能耗(tce/产品单位)</w:t>
            </w:r>
          </w:p>
        </w:tc>
        <w:tc>
          <w:tcPr>
            <w:tcW w:w="118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30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766"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增加值(万元)</w:t>
            </w:r>
          </w:p>
        </w:tc>
        <w:tc>
          <w:tcPr>
            <w:tcW w:w="118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30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766"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单位增加值能耗(tce/万元)</w:t>
            </w:r>
          </w:p>
        </w:tc>
        <w:tc>
          <w:tcPr>
            <w:tcW w:w="118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30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766"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产值(万元)</w:t>
            </w:r>
          </w:p>
        </w:tc>
        <w:tc>
          <w:tcPr>
            <w:tcW w:w="118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30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766"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单位产值能耗(tce/万元)</w:t>
            </w:r>
          </w:p>
        </w:tc>
        <w:tc>
          <w:tcPr>
            <w:tcW w:w="118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30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20"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设备清单</w:t>
            </w:r>
          </w:p>
        </w:tc>
        <w:tc>
          <w:tcPr>
            <w:tcW w:w="1766"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序号</w:t>
            </w:r>
          </w:p>
        </w:tc>
        <w:tc>
          <w:tcPr>
            <w:tcW w:w="118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设备名称</w:t>
            </w:r>
          </w:p>
        </w:tc>
        <w:tc>
          <w:tcPr>
            <w:tcW w:w="130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设备型号</w:t>
            </w: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运行台数</w:t>
            </w: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单机功率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766"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1</w:t>
            </w:r>
          </w:p>
        </w:tc>
        <w:tc>
          <w:tcPr>
            <w:tcW w:w="118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30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766"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2</w:t>
            </w:r>
          </w:p>
        </w:tc>
        <w:tc>
          <w:tcPr>
            <w:tcW w:w="118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30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766"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3</w:t>
            </w:r>
          </w:p>
        </w:tc>
        <w:tc>
          <w:tcPr>
            <w:tcW w:w="118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30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766"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4</w:t>
            </w:r>
          </w:p>
        </w:tc>
        <w:tc>
          <w:tcPr>
            <w:tcW w:w="118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30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766"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w:t>
            </w:r>
          </w:p>
        </w:tc>
        <w:tc>
          <w:tcPr>
            <w:tcW w:w="118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30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c>
          <w:tcPr>
            <w:tcW w:w="142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3" w:hRule="atLeast"/>
          <w:jc w:val="center"/>
        </w:trPr>
        <w:tc>
          <w:tcPr>
            <w:tcW w:w="8522" w:type="dxa"/>
            <w:gridSpan w:val="6"/>
            <w:vAlign w:val="top"/>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eastAsia" w:ascii="仿宋" w:hAnsi="仿宋" w:eastAsia="仿宋" w:cs="仿宋"/>
                <w:color w:val="000000"/>
                <w:kern w:val="2"/>
                <w:sz w:val="24"/>
                <w:szCs w:val="24"/>
                <w:lang w:val="en-US" w:eastAsia="zh-CN" w:bidi="ar-SA"/>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节能措施简述(拟采用的节能设计标准规范、技术、措施等)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jc w:val="center"/>
        </w:trPr>
        <w:tc>
          <w:tcPr>
            <w:tcW w:w="8522" w:type="dxa"/>
            <w:gridSpan w:val="6"/>
            <w:vAlign w:val="top"/>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eastAsia" w:ascii="仿宋" w:hAnsi="仿宋" w:eastAsia="仿宋" w:cs="仿宋"/>
                <w:color w:val="000000"/>
                <w:kern w:val="2"/>
                <w:sz w:val="24"/>
                <w:szCs w:val="24"/>
                <w:lang w:val="en-US" w:eastAsia="zh-CN" w:bidi="ar-SA"/>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生产工艺简述：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9" w:hRule="atLeast"/>
          <w:jc w:val="center"/>
        </w:trPr>
        <w:tc>
          <w:tcPr>
            <w:tcW w:w="8522" w:type="dxa"/>
            <w:gridSpan w:val="6"/>
            <w:vAlign w:val="top"/>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本单位郑重承诺:</w:t>
            </w:r>
          </w:p>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1.本单位所提供的材料及数据真实有效</w:t>
            </w:r>
          </w:p>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2.本项目符合国家和我县的产业政策。</w:t>
            </w:r>
          </w:p>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3.本项目达产后，年综合能源消费量控制在      tce(等价值) 以内，年万元增加值能耗       为tce/万元(等价值)。</w:t>
            </w:r>
          </w:p>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4.本项目按照规范配备相应的能源计量器具，落实能源计量管理。项目使用的技术、工艺、设备符合国家节能技术标准。</w:t>
            </w:r>
          </w:p>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5.本项目实施过程中，将严格遵守国家相关节能法律法规政策；建成投产后将严格履行报告义务，自觉配合相关检查、监察。</w:t>
            </w:r>
          </w:p>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企业负责人（签字）：                       企业（盖章）：</w:t>
            </w:r>
          </w:p>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7" w:hRule="atLeast"/>
          <w:jc w:val="center"/>
        </w:trPr>
        <w:tc>
          <w:tcPr>
            <w:tcW w:w="8522" w:type="dxa"/>
            <w:gridSpan w:val="6"/>
            <w:vAlign w:val="top"/>
          </w:tcPr>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eastAsia" w:ascii="仿宋" w:hAnsi="仿宋" w:eastAsia="仿宋" w:cs="仿宋"/>
                <w:color w:val="000000"/>
                <w:kern w:val="2"/>
                <w:sz w:val="24"/>
                <w:szCs w:val="24"/>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管理部门意见:</w:t>
            </w:r>
          </w:p>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eastAsia" w:ascii="仿宋" w:hAnsi="仿宋" w:eastAsia="仿宋" w:cs="仿宋"/>
                <w:color w:val="000000"/>
                <w:kern w:val="2"/>
                <w:sz w:val="24"/>
                <w:szCs w:val="24"/>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eastAsia" w:ascii="仿宋" w:hAnsi="仿宋" w:eastAsia="仿宋" w:cs="仿宋"/>
                <w:color w:val="000000"/>
                <w:kern w:val="2"/>
                <w:sz w:val="24"/>
                <w:szCs w:val="24"/>
                <w:lang w:val="en-US" w:eastAsia="zh-CN" w:bidi="ar-SA"/>
              </w:rPr>
            </w:pPr>
          </w:p>
          <w:p>
            <w:pPr>
              <w:pStyle w:val="9"/>
              <w:keepNext w:val="0"/>
              <w:keepLines w:val="0"/>
              <w:pageBreakBefore w:val="0"/>
              <w:widowControl w:val="0"/>
              <w:kinsoku/>
              <w:wordWrap w:val="0"/>
              <w:overflowPunct/>
              <w:topLinePunct w:val="0"/>
              <w:autoSpaceDE/>
              <w:autoSpaceDN/>
              <w:bidi w:val="0"/>
              <w:adjustRightInd/>
              <w:snapToGrid/>
              <w:spacing w:line="240" w:lineRule="atLeast"/>
              <w:ind w:left="0" w:leftChars="0" w:firstLine="0" w:firstLineChars="0"/>
              <w:jc w:val="right"/>
              <w:textAlignment w:val="auto"/>
              <w:rPr>
                <w:rFonts w:hint="eastAsia" w:ascii="仿宋" w:hAnsi="仿宋" w:eastAsia="仿宋" w:cs="仿宋"/>
                <w:color w:val="000000"/>
                <w:kern w:val="2"/>
                <w:sz w:val="24"/>
                <w:szCs w:val="24"/>
                <w:lang w:val="en-US" w:eastAsia="zh-CN" w:bidi="ar-SA"/>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（盖章）</w:t>
            </w:r>
            <w:r>
              <w:rPr>
                <w:rFonts w:hint="eastAsia" w:ascii="仿宋" w:hAnsi="仿宋" w:eastAsia="仿宋" w:cs="仿宋"/>
                <w:color w:val="000000"/>
                <w:kern w:val="2"/>
                <w:sz w:val="24"/>
                <w:szCs w:val="24"/>
                <w:lang w:val="en-US" w:eastAsia="zh-CN" w:bidi="ar-SA"/>
              </w:rPr>
              <w:t xml:space="preserve">               </w:t>
            </w:r>
          </w:p>
          <w:p>
            <w:pPr>
              <w:pStyle w:val="9"/>
              <w:keepNext w:val="0"/>
              <w:keepLines w:val="0"/>
              <w:pageBreakBefore w:val="0"/>
              <w:widowControl w:val="0"/>
              <w:kinsoku/>
              <w:wordWrap w:val="0"/>
              <w:overflowPunct/>
              <w:topLinePunct w:val="0"/>
              <w:autoSpaceDE/>
              <w:autoSpaceDN/>
              <w:bidi w:val="0"/>
              <w:adjustRightInd/>
              <w:snapToGrid/>
              <w:spacing w:line="240" w:lineRule="atLeast"/>
              <w:ind w:left="0" w:leftChars="0" w:firstLine="0" w:firstLineChars="0"/>
              <w:jc w:val="right"/>
              <w:textAlignment w:val="auto"/>
              <w:rPr>
                <w:rFonts w:hint="eastAsia" w:ascii="仿宋" w:hAnsi="仿宋" w:eastAsia="仿宋" w:cs="仿宋"/>
                <w:color w:val="000000"/>
                <w:kern w:val="2"/>
                <w:sz w:val="24"/>
                <w:szCs w:val="24"/>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right"/>
              <w:textAlignment w:val="auto"/>
              <w:rPr>
                <w:rFonts w:hint="eastAsia" w:ascii="仿宋" w:hAnsi="仿宋" w:eastAsia="仿宋" w:cs="仿宋"/>
                <w:color w:val="000000"/>
                <w:kern w:val="2"/>
                <w:sz w:val="24"/>
                <w:szCs w:val="24"/>
                <w:lang w:val="en-US" w:eastAsia="zh-CN" w:bidi="ar-SA"/>
              </w:rPr>
            </w:pPr>
          </w:p>
          <w:p>
            <w:pPr>
              <w:pStyle w:val="9"/>
              <w:keepNext w:val="0"/>
              <w:keepLines w:val="0"/>
              <w:pageBreakBefore w:val="0"/>
              <w:widowControl w:val="0"/>
              <w:kinsoku/>
              <w:wordWrap w:val="0"/>
              <w:overflowPunct/>
              <w:topLinePunct w:val="0"/>
              <w:autoSpaceDE/>
              <w:autoSpaceDN/>
              <w:bidi w:val="0"/>
              <w:adjustRightInd/>
              <w:snapToGrid/>
              <w:spacing w:line="240" w:lineRule="atLeast"/>
              <w:ind w:left="0" w:leftChars="0" w:firstLine="0" w:firstLineChars="0"/>
              <w:jc w:val="right"/>
              <w:textAlignment w:val="auto"/>
              <w:rPr>
                <w:rFonts w:hint="eastAsia" w:ascii="仿宋" w:hAnsi="仿宋" w:eastAsia="仿宋" w:cs="仿宋"/>
                <w:color w:val="000000"/>
                <w:kern w:val="2"/>
                <w:sz w:val="24"/>
                <w:szCs w:val="24"/>
                <w:lang w:val="en-US" w:eastAsia="zh-CN" w:bidi="ar-SA"/>
              </w:rPr>
            </w:pPr>
            <w:r>
              <w:rPr>
                <w:rFonts w:hint="eastAsia" w:ascii="仿宋_GB2312" w:hAnsi="仿宋_GB2312" w:eastAsia="仿宋_GB2312" w:cs="仿宋_GB2312"/>
                <w:color w:val="000000" w:themeColor="text1"/>
                <w:spacing w:val="0"/>
                <w:w w:val="100"/>
                <w:kern w:val="2"/>
                <w:position w:val="0"/>
                <w:sz w:val="24"/>
                <w:szCs w:val="24"/>
                <w:u w:val="none"/>
                <w:shd w:val="clear"/>
                <w:lang w:val="en-US" w:eastAsia="zh-CN" w:bidi="ar-SA"/>
                <w14:textFill>
                  <w14:solidFill>
                    <w14:schemeClr w14:val="tx1"/>
                  </w14:solidFill>
                </w14:textFill>
              </w:rPr>
              <w:t xml:space="preserve"> 年   月   日    </w:t>
            </w:r>
            <w:r>
              <w:rPr>
                <w:rFonts w:hint="eastAsia" w:ascii="仿宋" w:hAnsi="仿宋" w:eastAsia="仿宋" w:cs="仿宋"/>
                <w:color w:val="000000"/>
                <w:kern w:val="2"/>
                <w:sz w:val="24"/>
                <w:szCs w:val="24"/>
                <w:lang w:val="en-US" w:eastAsia="zh-CN" w:bidi="ar-SA"/>
              </w:rPr>
              <w:t xml:space="preserve">  </w:t>
            </w:r>
          </w:p>
        </w:tc>
      </w:tr>
    </w:tbl>
    <w:p>
      <w:pPr>
        <w:pStyle w:val="9"/>
        <w:ind w:left="0" w:leftChars="0" w:firstLine="0" w:firstLineChars="0"/>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43E5EA-680B-411E-BB84-E0AA061EE7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AC2CF9A-D093-4729-9220-BFD332008C21}"/>
  </w:font>
  <w:font w:name="方正小标宋简体">
    <w:panose1 w:val="02000000000000000000"/>
    <w:charset w:val="86"/>
    <w:family w:val="script"/>
    <w:pitch w:val="default"/>
    <w:sig w:usb0="00000001" w:usb1="08000000" w:usb2="00000000" w:usb3="00000000" w:csb0="00040000" w:csb1="00000000"/>
    <w:embedRegular r:id="rId3" w:fontKey="{D14CF2B4-B63C-4C54-B323-441B2C2184D2}"/>
  </w:font>
  <w:font w:name="仿宋_GB2312">
    <w:panose1 w:val="02010609030101010101"/>
    <w:charset w:val="86"/>
    <w:family w:val="modern"/>
    <w:pitch w:val="default"/>
    <w:sig w:usb0="00000001" w:usb1="080E0000" w:usb2="00000000" w:usb3="00000000" w:csb0="00040000" w:csb1="00000000"/>
    <w:embedRegular r:id="rId4" w:fontKey="{78AE5DA1-A162-4AF3-803A-79BA09A63877}"/>
  </w:font>
  <w:font w:name="楷体_GB2312">
    <w:altName w:val="楷体"/>
    <w:panose1 w:val="02010609030101010101"/>
    <w:charset w:val="86"/>
    <w:family w:val="auto"/>
    <w:pitch w:val="default"/>
    <w:sig w:usb0="00000000" w:usb1="00000000" w:usb2="00000000" w:usb3="00000000" w:csb0="00040000" w:csb1="00000000"/>
    <w:embedRegular r:id="rId5" w:fontKey="{0BEA153D-A2E7-4617-9D2E-C9AE15A6630B}"/>
  </w:font>
  <w:font w:name="方正黑体简体">
    <w:panose1 w:val="02000000000000000000"/>
    <w:charset w:val="86"/>
    <w:family w:val="auto"/>
    <w:pitch w:val="default"/>
    <w:sig w:usb0="A00002BF" w:usb1="184F6CFA" w:usb2="00000012" w:usb3="00000000" w:csb0="00040001" w:csb1="00000000"/>
    <w:embedRegular r:id="rId6" w:fontKey="{8487BDA5-11DD-4BF4-96D7-16A740461445}"/>
  </w:font>
  <w:font w:name="仿宋">
    <w:panose1 w:val="02010609060101010101"/>
    <w:charset w:val="86"/>
    <w:family w:val="auto"/>
    <w:pitch w:val="default"/>
    <w:sig w:usb0="800002BF" w:usb1="38CF7CFA" w:usb2="00000016" w:usb3="00000000" w:csb0="00040001" w:csb1="00000000"/>
    <w:embedRegular r:id="rId7" w:fontKey="{125EB562-70DF-414F-957B-49C1D7E7688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1182460"/>
    <w:rsid w:val="01182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line="500" w:lineRule="exact"/>
      <w:ind w:firstLine="420"/>
    </w:pPr>
    <w:rPr>
      <w:sz w:val="28"/>
    </w:rPr>
  </w:style>
  <w:style w:type="paragraph" w:styleId="3">
    <w:name w:val="Body Text"/>
    <w:basedOn w:val="1"/>
    <w:next w:val="2"/>
    <w:qFormat/>
    <w:uiPriority w:val="1"/>
    <w:rPr>
      <w:rFonts w:ascii="宋体" w:hAnsi="宋体" w:eastAsia="宋体" w:cs="宋体"/>
      <w:lang w:val="zh-CN" w:bidi="zh-CN"/>
    </w:rPr>
  </w:style>
  <w:style w:type="paragraph" w:styleId="4">
    <w:name w:val="Body Text Indent"/>
    <w:basedOn w:val="1"/>
    <w:qFormat/>
    <w:uiPriority w:val="0"/>
    <w:pPr>
      <w:spacing w:after="120" w:afterLines="0" w:afterAutospacing="0"/>
      <w:ind w:left="420" w:leftChars="200"/>
    </w:pPr>
    <w:rPr>
      <w:rFonts w:ascii="Times New Roman" w:hAnsi="Times New Roman" w:eastAsia="宋体" w:cs="Times New Roman"/>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iPriority w:val="39"/>
    <w:pPr>
      <w:ind w:firstLine="0" w:firstLineChars="0"/>
    </w:pPr>
    <w:rPr>
      <w:rFonts w:ascii="黑体" w:hAnsi="黑体" w:eastAsia="黑体"/>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qFormat/>
    <w:uiPriority w:val="0"/>
    <w:pPr>
      <w:ind w:firstLine="420" w:firstLineChars="200"/>
    </w:pPr>
    <w:rPr>
      <w:rFonts w:ascii="Times New Roman" w:hAnsi="Times New Roman" w:eastAsia="宋体" w:cs="Times New Roma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2023-07-25T01:18:00Z</dcterms:created>
  <dc:creator>海阔天空</dc:creator>
  <cp:lastModifiedBy>海阔天空</cp:lastModifiedBy>
  <dcterms:modified xsi:type="dcterms:W3CDTF">2023-07-25T01:21:07Z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258D684E200B46AC99CBB1A8BCEC08E1_11</vt:lpwstr>
  </property>
</Properties>
</file>