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ind w:right="0"/>
        <w:jc w:val="center"/>
        <w:textAlignment w:val="baseline"/>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关于加强路桥区公益性</w:t>
      </w:r>
      <w:r>
        <w:rPr>
          <w:rFonts w:hint="eastAsia" w:ascii="方正小标宋简体" w:hAnsi="方正小标宋简体" w:eastAsia="方正小标宋简体" w:cs="方正小标宋简体"/>
          <w:sz w:val="44"/>
          <w:szCs w:val="44"/>
          <w:lang w:val="en-US" w:eastAsia="zh-CN"/>
        </w:rPr>
        <w:t>公墓</w:t>
      </w:r>
      <w:r>
        <w:rPr>
          <w:rFonts w:hint="eastAsia" w:ascii="方正小标宋简体" w:hAnsi="方正小标宋简体" w:eastAsia="方正小标宋简体" w:cs="方正小标宋简体"/>
          <w:sz w:val="44"/>
          <w:szCs w:val="44"/>
          <w:lang w:eastAsia="zh-CN"/>
        </w:rPr>
        <w:t>价格管理的通知</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（征求意见稿）</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eastAsia" w:ascii="国标仿宋" w:hAnsi="国标仿宋" w:eastAsia="国标仿宋" w:cs="国标仿宋"/>
          <w:spacing w:val="23"/>
          <w:sz w:val="30"/>
          <w:szCs w:val="3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各镇</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街道</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人民政府(办事处),各公益性</w:t>
      </w:r>
      <w:r>
        <w:rPr>
          <w:rFonts w:hint="eastAsia" w:ascii="仿宋_GB2312" w:hAnsi="仿宋_GB2312" w:eastAsia="仿宋_GB2312" w:cs="仿宋_GB2312"/>
          <w:spacing w:val="-6"/>
          <w:sz w:val="32"/>
          <w:szCs w:val="32"/>
          <w:lang w:val="en-US" w:eastAsia="zh-CN"/>
        </w:rPr>
        <w:t>公墓</w:t>
      </w:r>
      <w:r>
        <w:rPr>
          <w:rFonts w:hint="eastAsia" w:ascii="仿宋_GB2312" w:hAnsi="仿宋_GB2312" w:eastAsia="仿宋_GB2312" w:cs="仿宋_GB2312"/>
          <w:spacing w:val="-6"/>
          <w:sz w:val="32"/>
          <w:szCs w:val="32"/>
        </w:rPr>
        <w:t>经营(管理)单位：</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为加强我</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公益性</w:t>
      </w:r>
      <w:r>
        <w:rPr>
          <w:rFonts w:hint="eastAsia" w:ascii="仿宋_GB2312" w:hAnsi="仿宋_GB2312" w:eastAsia="仿宋_GB2312" w:cs="仿宋_GB2312"/>
          <w:spacing w:val="0"/>
          <w:sz w:val="32"/>
          <w:szCs w:val="32"/>
          <w:lang w:val="en-US" w:eastAsia="zh-CN"/>
        </w:rPr>
        <w:t>公墓</w:t>
      </w:r>
      <w:r>
        <w:rPr>
          <w:rFonts w:hint="eastAsia" w:ascii="仿宋_GB2312" w:hAnsi="仿宋_GB2312" w:eastAsia="仿宋_GB2312" w:cs="仿宋_GB2312"/>
          <w:spacing w:val="0"/>
          <w:sz w:val="32"/>
          <w:szCs w:val="32"/>
        </w:rPr>
        <w:t>价格管理，切实减轻人民群众丧葬负担，根据《浙江省公墓管理办法》、《浙江省定价目录》(</w:t>
      </w:r>
      <w:r>
        <w:rPr>
          <w:rFonts w:hint="default" w:ascii="Times New Roman" w:hAnsi="Times New Roman" w:eastAsia="仿宋_GB2312" w:cs="Times New Roman"/>
          <w:spacing w:val="0"/>
          <w:sz w:val="32"/>
          <w:szCs w:val="32"/>
        </w:rPr>
        <w:t>2022</w:t>
      </w:r>
      <w:r>
        <w:rPr>
          <w:rFonts w:hint="eastAsia" w:ascii="仿宋_GB2312" w:hAnsi="仿宋_GB2312" w:eastAsia="仿宋_GB2312" w:cs="仿宋_GB2312"/>
          <w:spacing w:val="0"/>
          <w:sz w:val="32"/>
          <w:szCs w:val="32"/>
        </w:rPr>
        <w:t xml:space="preserve"> 年版)、《浙江省物价局浙江省民政厅关于进一步规范公墓价格 管理的通知》(浙价费〔</w:t>
      </w:r>
      <w:r>
        <w:rPr>
          <w:rFonts w:hint="default" w:ascii="Times New Roman" w:hAnsi="Times New Roman" w:eastAsia="仿宋_GB2312" w:cs="Times New Roman"/>
          <w:spacing w:val="0"/>
          <w:sz w:val="32"/>
          <w:szCs w:val="32"/>
        </w:rPr>
        <w:t>2017</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60</w:t>
      </w:r>
      <w:r>
        <w:rPr>
          <w:rFonts w:hint="eastAsia" w:ascii="仿宋_GB2312" w:hAnsi="仿宋_GB2312" w:eastAsia="仿宋_GB2312" w:cs="仿宋_GB2312"/>
          <w:spacing w:val="0"/>
          <w:sz w:val="32"/>
          <w:szCs w:val="32"/>
        </w:rPr>
        <w:t>号)、《台州市发展和改革委员 会台州市民政局关于加强台州市公墓价格管理的通知(台发改价格〔</w:t>
      </w:r>
      <w:r>
        <w:rPr>
          <w:rFonts w:hint="default" w:ascii="Times New Roman" w:hAnsi="Times New Roman" w:eastAsia="仿宋_GB2312" w:cs="Times New Roman"/>
          <w:spacing w:val="0"/>
          <w:sz w:val="32"/>
          <w:szCs w:val="32"/>
        </w:rPr>
        <w:t>2024</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191</w:t>
      </w:r>
      <w:r>
        <w:rPr>
          <w:rFonts w:hint="eastAsia" w:ascii="仿宋_GB2312" w:hAnsi="仿宋_GB2312" w:eastAsia="仿宋_GB2312" w:cs="仿宋_GB2312"/>
          <w:spacing w:val="0"/>
          <w:sz w:val="32"/>
          <w:szCs w:val="32"/>
        </w:rPr>
        <w:t>号)等精神，经成本调查，并结合我</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实际情况,现就加强</w:t>
      </w:r>
      <w:r>
        <w:rPr>
          <w:rFonts w:hint="eastAsia" w:ascii="仿宋_GB2312" w:hAnsi="仿宋_GB2312" w:eastAsia="仿宋_GB2312" w:cs="仿宋_GB2312"/>
          <w:spacing w:val="0"/>
          <w:sz w:val="32"/>
          <w:szCs w:val="32"/>
          <w:lang w:eastAsia="zh-CN"/>
        </w:rPr>
        <w:t>路桥区</w:t>
      </w:r>
      <w:r>
        <w:rPr>
          <w:rFonts w:hint="eastAsia" w:ascii="仿宋_GB2312" w:hAnsi="仿宋_GB2312" w:eastAsia="仿宋_GB2312" w:cs="仿宋_GB2312"/>
          <w:spacing w:val="0"/>
          <w:sz w:val="32"/>
          <w:szCs w:val="32"/>
        </w:rPr>
        <w:t>公益性</w:t>
      </w:r>
      <w:r>
        <w:rPr>
          <w:rFonts w:hint="eastAsia" w:ascii="仿宋_GB2312" w:hAnsi="仿宋_GB2312" w:eastAsia="仿宋_GB2312" w:cs="仿宋_GB2312"/>
          <w:spacing w:val="0"/>
          <w:sz w:val="32"/>
          <w:szCs w:val="32"/>
          <w:lang w:val="en-US" w:eastAsia="zh-CN"/>
        </w:rPr>
        <w:t>公墓</w:t>
      </w:r>
      <w:r>
        <w:rPr>
          <w:rFonts w:hint="eastAsia" w:ascii="仿宋_GB2312" w:hAnsi="仿宋_GB2312" w:eastAsia="仿宋_GB2312" w:cs="仿宋_GB2312"/>
          <w:spacing w:val="0"/>
          <w:sz w:val="32"/>
          <w:szCs w:val="32"/>
        </w:rPr>
        <w:t>价格管理有关事项通知如下：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lang w:val="en-US" w:eastAsia="zh-CN"/>
        </w:rPr>
        <w:t>一、</w:t>
      </w:r>
      <w:r>
        <w:rPr>
          <w:rFonts w:hint="eastAsia" w:ascii="黑体" w:hAnsi="黑体" w:eastAsia="黑体" w:cs="黑体"/>
          <w:spacing w:val="12"/>
          <w:sz w:val="32"/>
          <w:szCs w:val="32"/>
        </w:rPr>
        <w:t>公益性</w:t>
      </w:r>
      <w:r>
        <w:rPr>
          <w:rFonts w:hint="eastAsia" w:ascii="黑体" w:hAnsi="黑体" w:eastAsia="黑体" w:cs="黑体"/>
          <w:spacing w:val="12"/>
          <w:sz w:val="32"/>
          <w:szCs w:val="32"/>
          <w:lang w:val="en-US" w:eastAsia="zh-CN"/>
        </w:rPr>
        <w:t>公墓</w:t>
      </w:r>
      <w:r>
        <w:rPr>
          <w:rFonts w:hint="eastAsia" w:ascii="黑体" w:hAnsi="黑体" w:eastAsia="黑体" w:cs="黑体"/>
          <w:spacing w:val="12"/>
          <w:sz w:val="32"/>
          <w:szCs w:val="32"/>
        </w:rPr>
        <w:t>价格管理形式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 xml:space="preserve">公益性公墓的墓穴使用费及基本服务收费实行政府指导价；延伸服务收费实行市场调节价。其他公墓的墓穴使用费及相关服务收费实行市场调节价。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 xml:space="preserve">公益性公墓包括具有公益性质的公墓（含骨灰存放处，下同）和乡村公益性墓地（含骨灰存放处，下同）。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val="en-US" w:eastAsia="zh-CN"/>
        </w:rPr>
        <w:t>具有公益性质的公墓，是指经民政主管部门按规定权限依法批准、办理相关手续、具备开业条件、由政府及其有关部门和事业单位投资举办或参与举办的公墓。乡村公益性墓地是指经民政主管部门按规定权限依法批准在农村建立的、向当地村民提供的非营利性公共墓地。公墓单位是指经营或管理公墓、向用户提供墓穴和配套殡葬服务的组织或机构。</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lang w:val="en-US" w:eastAsia="zh-CN"/>
        </w:rPr>
        <w:t>二、公益性公墓价格适用范围</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我</w:t>
      </w:r>
      <w:r>
        <w:rPr>
          <w:rFonts w:hint="eastAsia" w:ascii="仿宋_GB2312" w:hAnsi="仿宋_GB2312" w:eastAsia="仿宋_GB2312" w:cs="仿宋_GB2312"/>
          <w:spacing w:val="12"/>
          <w:sz w:val="32"/>
          <w:szCs w:val="32"/>
          <w:lang w:eastAsia="zh-CN"/>
        </w:rPr>
        <w:t>区</w:t>
      </w:r>
      <w:r>
        <w:rPr>
          <w:rFonts w:hint="eastAsia" w:ascii="仿宋_GB2312" w:hAnsi="仿宋_GB2312" w:eastAsia="仿宋_GB2312" w:cs="仿宋_GB2312"/>
          <w:spacing w:val="12"/>
          <w:sz w:val="32"/>
          <w:szCs w:val="32"/>
        </w:rPr>
        <w:t>范围内</w:t>
      </w:r>
      <w:r>
        <w:rPr>
          <w:rFonts w:hint="eastAsia" w:ascii="仿宋_GB2312" w:hAnsi="仿宋_GB2312" w:eastAsia="仿宋_GB2312" w:cs="仿宋_GB2312"/>
          <w:spacing w:val="12"/>
          <w:sz w:val="32"/>
          <w:szCs w:val="32"/>
          <w:lang w:val="en-US" w:eastAsia="zh-CN"/>
        </w:rPr>
        <w:t>审批手续合法的</w:t>
      </w:r>
      <w:r>
        <w:rPr>
          <w:rFonts w:hint="eastAsia" w:ascii="仿宋_GB2312" w:hAnsi="仿宋_GB2312" w:eastAsia="仿宋_GB2312" w:cs="仿宋_GB2312"/>
          <w:spacing w:val="12"/>
          <w:sz w:val="32"/>
          <w:szCs w:val="32"/>
        </w:rPr>
        <w:t>公益性</w:t>
      </w:r>
      <w:r>
        <w:rPr>
          <w:rFonts w:hint="eastAsia" w:ascii="仿宋_GB2312" w:hAnsi="仿宋_GB2312" w:eastAsia="仿宋_GB2312" w:cs="仿宋_GB2312"/>
          <w:spacing w:val="12"/>
          <w:sz w:val="32"/>
          <w:szCs w:val="32"/>
          <w:lang w:val="en-US" w:eastAsia="zh-CN"/>
        </w:rPr>
        <w:t>公墓</w:t>
      </w:r>
      <w:r>
        <w:rPr>
          <w:rFonts w:hint="eastAsia" w:ascii="仿宋_GB2312" w:hAnsi="仿宋_GB2312" w:eastAsia="仿宋_GB2312" w:cs="仿宋_GB2312"/>
          <w:spacing w:val="12"/>
          <w:sz w:val="32"/>
          <w:szCs w:val="32"/>
        </w:rPr>
        <w:t>。</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lang w:val="en-US" w:eastAsia="zh-CN"/>
        </w:rPr>
        <w:t>三、公益性公墓的墓穴使用费标准</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_GB2312" w:hAnsi="仿宋_GB2312" w:eastAsia="仿宋_GB2312" w:cs="仿宋_GB2312"/>
          <w:b w:val="0"/>
          <w:bCs w:val="0"/>
          <w:color w:val="000000" w:themeColor="text1"/>
          <w:spacing w:val="12"/>
          <w:sz w:val="32"/>
          <w:szCs w:val="32"/>
          <w:lang w:val="en-US" w:eastAsia="zh-CN"/>
          <w14:textFill>
            <w14:solidFill>
              <w14:schemeClr w14:val="tx1"/>
            </w14:solidFill>
          </w14:textFill>
        </w:rPr>
      </w:pPr>
      <w:r>
        <w:rPr>
          <w:rFonts w:hint="default" w:ascii="Times New Roman" w:hAnsi="Times New Roman" w:eastAsia="仿宋_GB2312" w:cs="Times New Roman"/>
          <w:spacing w:val="12"/>
          <w:sz w:val="32"/>
          <w:szCs w:val="32"/>
          <w:lang w:val="en-US" w:eastAsia="zh-CN"/>
        </w:rPr>
        <w:t>1</w:t>
      </w:r>
      <w:r>
        <w:rPr>
          <w:rFonts w:hint="eastAsia" w:ascii="仿宋_GB2312" w:hAnsi="仿宋_GB2312" w:eastAsia="仿宋_GB2312" w:cs="仿宋_GB2312"/>
          <w:spacing w:val="12"/>
          <w:sz w:val="32"/>
          <w:szCs w:val="32"/>
          <w:lang w:val="en-US" w:eastAsia="zh-CN"/>
        </w:rPr>
        <w:t>、</w:t>
      </w:r>
      <w:r>
        <w:rPr>
          <w:rFonts w:hint="eastAsia" w:ascii="仿宋_GB2312" w:hAnsi="仿宋_GB2312" w:eastAsia="仿宋_GB2312" w:cs="仿宋_GB2312"/>
          <w:spacing w:val="12"/>
          <w:sz w:val="32"/>
          <w:szCs w:val="32"/>
        </w:rPr>
        <w:t>我</w:t>
      </w:r>
      <w:r>
        <w:rPr>
          <w:rFonts w:hint="eastAsia" w:ascii="仿宋_GB2312" w:hAnsi="仿宋_GB2312" w:eastAsia="仿宋_GB2312" w:cs="仿宋_GB2312"/>
          <w:spacing w:val="12"/>
          <w:sz w:val="32"/>
          <w:szCs w:val="32"/>
          <w:lang w:eastAsia="zh-CN"/>
        </w:rPr>
        <w:t>区</w:t>
      </w:r>
      <w:r>
        <w:rPr>
          <w:rFonts w:hint="eastAsia" w:ascii="仿宋_GB2312" w:hAnsi="仿宋_GB2312" w:eastAsia="仿宋_GB2312" w:cs="仿宋_GB2312"/>
          <w:spacing w:val="12"/>
          <w:sz w:val="32"/>
          <w:szCs w:val="32"/>
        </w:rPr>
        <w:t>公益性</w:t>
      </w:r>
      <w:r>
        <w:rPr>
          <w:rFonts w:hint="eastAsia" w:ascii="仿宋_GB2312" w:hAnsi="仿宋_GB2312" w:eastAsia="仿宋_GB2312" w:cs="仿宋_GB2312"/>
          <w:spacing w:val="12"/>
          <w:sz w:val="32"/>
          <w:szCs w:val="32"/>
          <w:lang w:val="en-US" w:eastAsia="zh-CN"/>
        </w:rPr>
        <w:t>公墓</w:t>
      </w:r>
      <w:r>
        <w:rPr>
          <w:rFonts w:hint="eastAsia" w:ascii="仿宋_GB2312" w:hAnsi="仿宋_GB2312" w:eastAsia="仿宋_GB2312" w:cs="仿宋_GB2312"/>
          <w:spacing w:val="12"/>
          <w:sz w:val="32"/>
          <w:szCs w:val="32"/>
        </w:rPr>
        <w:t>墓穴使用费基准价格：</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单穴</w:t>
      </w:r>
      <w:r>
        <w:rPr>
          <w:rFonts w:hint="default"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590</w:t>
      </w:r>
      <w:r>
        <w:rPr>
          <w:rFonts w:hint="default" w:ascii="Times New Roman" w:hAnsi="Times New Roman" w:eastAsia="仿宋_GB2312" w:cs="Times New Roman"/>
          <w:b w:val="0"/>
          <w:bCs w:val="0"/>
          <w:color w:val="000000" w:themeColor="text1"/>
          <w:spacing w:val="12"/>
          <w:sz w:val="32"/>
          <w:szCs w:val="32"/>
          <w14:textFill>
            <w14:solidFill>
              <w14:schemeClr w14:val="tx1"/>
            </w14:solidFill>
          </w14:textFill>
        </w:rPr>
        <w:t>0</w:t>
      </w:r>
      <w:r>
        <w:rPr>
          <w:rFonts w:hint="eastAsia" w:ascii="仿宋_GB2312" w:hAnsi="仿宋_GB2312" w:eastAsia="仿宋_GB2312" w:cs="仿宋_GB2312"/>
          <w:b w:val="0"/>
          <w:bCs w:val="0"/>
          <w:color w:val="000000" w:themeColor="text1"/>
          <w:spacing w:val="12"/>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00</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元/座</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双穴</w:t>
      </w:r>
      <w:r>
        <w:rPr>
          <w:rFonts w:hint="default"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11000</w:t>
      </w:r>
      <w:r>
        <w:rPr>
          <w:rFonts w:hint="eastAsia" w:ascii="仿宋_GB2312" w:hAnsi="仿宋_GB2312" w:eastAsia="仿宋_GB2312" w:cs="仿宋_GB2312"/>
          <w:b w:val="0"/>
          <w:bCs w:val="0"/>
          <w:color w:val="000000" w:themeColor="text1"/>
          <w:spacing w:val="12"/>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00</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元/座</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lang w:val="en-US" w:eastAsia="zh-CN"/>
          <w14:textFill>
            <w14:solidFill>
              <w14:schemeClr w14:val="tx1"/>
            </w14:solidFill>
          </w14:textFill>
        </w:rPr>
        <w:t>三穴</w:t>
      </w:r>
      <w:r>
        <w:rPr>
          <w:rFonts w:hint="default"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16000</w:t>
      </w:r>
      <w:r>
        <w:rPr>
          <w:rFonts w:hint="eastAsia" w:ascii="仿宋_GB2312" w:hAnsi="仿宋_GB2312" w:eastAsia="仿宋_GB2312" w:cs="仿宋_GB2312"/>
          <w:b w:val="0"/>
          <w:bCs w:val="0"/>
          <w:color w:val="000000" w:themeColor="text1"/>
          <w:spacing w:val="12"/>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00</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元/座</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三穴以上由双方协商确定，每穴价格不超过单穴价格。</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（以上价格已含</w:t>
      </w:r>
      <w:r>
        <w:rPr>
          <w:rFonts w:hint="default"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pacing w:val="12"/>
          <w:sz w:val="32"/>
          <w:szCs w:val="32"/>
          <w:lang w:val="en-US" w:eastAsia="zh-CN"/>
          <w14:textFill>
            <w14:solidFill>
              <w14:schemeClr w14:val="tx1"/>
            </w14:solidFill>
          </w14:textFill>
        </w:rPr>
        <w:t>%的公墓维护费，未含税金</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墓穴使用费可在基准价格基础上最高上浮</w:t>
      </w:r>
      <w:r>
        <w:rPr>
          <w:rFonts w:hint="default"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pacing w:val="1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,下浮不限。</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_GB2312" w:hAnsi="仿宋_GB2312" w:eastAsia="仿宋_GB2312" w:cs="仿宋_GB2312"/>
          <w:spacing w:val="12"/>
          <w:sz w:val="32"/>
          <w:szCs w:val="32"/>
        </w:rPr>
      </w:pPr>
      <w:r>
        <w:rPr>
          <w:rFonts w:hint="default" w:ascii="Times New Roman" w:hAnsi="Times New Roman" w:eastAsia="仿宋_GB2312" w:cs="Times New Roman"/>
          <w:spacing w:val="12"/>
          <w:sz w:val="32"/>
          <w:szCs w:val="32"/>
          <w:lang w:val="en-US" w:eastAsia="zh-CN"/>
        </w:rPr>
        <w:t>2</w:t>
      </w:r>
      <w:r>
        <w:rPr>
          <w:rFonts w:hint="eastAsia" w:ascii="仿宋_GB2312" w:hAnsi="仿宋_GB2312" w:eastAsia="仿宋_GB2312" w:cs="仿宋_GB2312"/>
          <w:spacing w:val="12"/>
          <w:sz w:val="32"/>
          <w:szCs w:val="32"/>
          <w:lang w:val="en-US" w:eastAsia="zh-CN"/>
        </w:rPr>
        <w:t>、</w:t>
      </w:r>
      <w:r>
        <w:rPr>
          <w:rFonts w:hint="eastAsia" w:ascii="仿宋_GB2312" w:hAnsi="仿宋_GB2312" w:eastAsia="仿宋_GB2312" w:cs="仿宋_GB2312"/>
          <w:spacing w:val="12"/>
          <w:sz w:val="32"/>
          <w:szCs w:val="32"/>
        </w:rPr>
        <w:t>各公墓单位可根据成本，按照基准价格在规定的浮动幅度内合理确定墓穴使用费标准，墓穴使用费具体标准</w:t>
      </w:r>
      <w:r>
        <w:rPr>
          <w:rFonts w:hint="eastAsia" w:ascii="仿宋_GB2312" w:hAnsi="仿宋_GB2312" w:eastAsia="仿宋_GB2312" w:cs="仿宋_GB2312"/>
          <w:spacing w:val="12"/>
          <w:sz w:val="32"/>
          <w:szCs w:val="32"/>
          <w:lang w:val="en-US" w:eastAsia="zh-CN"/>
        </w:rPr>
        <w:t>报</w:t>
      </w:r>
      <w:r>
        <w:rPr>
          <w:rFonts w:hint="eastAsia" w:ascii="仿宋_GB2312" w:hAnsi="仿宋_GB2312" w:eastAsia="仿宋_GB2312" w:cs="仿宋_GB2312"/>
          <w:spacing w:val="12"/>
          <w:sz w:val="32"/>
          <w:szCs w:val="32"/>
          <w:lang w:eastAsia="zh-CN"/>
        </w:rPr>
        <w:t>区</w:t>
      </w:r>
      <w:r>
        <w:rPr>
          <w:rFonts w:hint="eastAsia" w:ascii="仿宋_GB2312" w:hAnsi="仿宋_GB2312" w:eastAsia="仿宋_GB2312" w:cs="仿宋_GB2312"/>
          <w:spacing w:val="12"/>
          <w:sz w:val="32"/>
          <w:szCs w:val="32"/>
        </w:rPr>
        <w:t>民政局、</w:t>
      </w:r>
      <w:r>
        <w:rPr>
          <w:rFonts w:hint="eastAsia" w:ascii="仿宋_GB2312" w:hAnsi="仿宋_GB2312" w:eastAsia="仿宋_GB2312" w:cs="仿宋_GB2312"/>
          <w:spacing w:val="12"/>
          <w:sz w:val="32"/>
          <w:szCs w:val="32"/>
          <w:lang w:eastAsia="zh-CN"/>
        </w:rPr>
        <w:t>区</w:t>
      </w:r>
      <w:r>
        <w:rPr>
          <w:rFonts w:hint="eastAsia" w:ascii="仿宋_GB2312" w:hAnsi="仿宋_GB2312" w:eastAsia="仿宋_GB2312" w:cs="仿宋_GB2312"/>
          <w:spacing w:val="12"/>
          <w:sz w:val="32"/>
          <w:szCs w:val="32"/>
        </w:rPr>
        <w:t>发改局备案后执行。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lang w:val="en-US" w:eastAsia="zh-CN"/>
        </w:rPr>
        <w:t>四、公益性公墓的相关服务收费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公益性</w:t>
      </w:r>
      <w:r>
        <w:rPr>
          <w:rFonts w:hint="eastAsia" w:ascii="仿宋_GB2312" w:hAnsi="仿宋_GB2312" w:eastAsia="仿宋_GB2312" w:cs="仿宋_GB2312"/>
          <w:spacing w:val="12"/>
          <w:sz w:val="32"/>
          <w:szCs w:val="32"/>
          <w:lang w:val="en-US" w:eastAsia="zh-CN"/>
        </w:rPr>
        <w:t>公墓</w:t>
      </w:r>
      <w:r>
        <w:rPr>
          <w:rFonts w:hint="eastAsia" w:ascii="仿宋_GB2312" w:hAnsi="仿宋_GB2312" w:eastAsia="仿宋_GB2312" w:cs="仿宋_GB2312"/>
          <w:spacing w:val="12"/>
          <w:sz w:val="32"/>
          <w:szCs w:val="32"/>
        </w:rPr>
        <w:t>的相关服务收费分为基本服务收费和延伸服务收费。基本服务收费标准实行最高指导价管理。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公益性</w:t>
      </w:r>
      <w:r>
        <w:rPr>
          <w:rFonts w:hint="eastAsia" w:ascii="仿宋_GB2312" w:hAnsi="仿宋_GB2312" w:eastAsia="仿宋_GB2312" w:cs="仿宋_GB2312"/>
          <w:b/>
          <w:bCs/>
          <w:spacing w:val="12"/>
          <w:sz w:val="32"/>
          <w:szCs w:val="32"/>
          <w:lang w:val="en-US" w:eastAsia="zh-CN"/>
        </w:rPr>
        <w:t>公墓</w:t>
      </w:r>
      <w:r>
        <w:rPr>
          <w:rFonts w:hint="eastAsia" w:ascii="仿宋_GB2312" w:hAnsi="仿宋_GB2312" w:eastAsia="仿宋_GB2312" w:cs="仿宋_GB2312"/>
          <w:b/>
          <w:bCs/>
          <w:spacing w:val="12"/>
          <w:sz w:val="32"/>
          <w:szCs w:val="32"/>
        </w:rPr>
        <w:t>基本服务收费标准</w:t>
      </w:r>
    </w:p>
    <w:tbl>
      <w:tblPr>
        <w:tblStyle w:val="12"/>
        <w:tblW w:w="8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2394"/>
        <w:gridCol w:w="3731"/>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913"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rPr>
              <w:t>序号</w:t>
            </w:r>
          </w:p>
        </w:tc>
        <w:tc>
          <w:tcPr>
            <w:tcW w:w="2394"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center"/>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rPr>
              <w:t>项目</w:t>
            </w:r>
          </w:p>
        </w:tc>
        <w:tc>
          <w:tcPr>
            <w:tcW w:w="3731"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center"/>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rPr>
              <w:t>规格要求</w:t>
            </w:r>
          </w:p>
        </w:tc>
        <w:tc>
          <w:tcPr>
            <w:tcW w:w="156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rPr>
              <w:t>最高标准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913"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324" w:firstLineChars="100"/>
              <w:jc w:val="center"/>
              <w:textAlignment w:val="baseline"/>
              <w:rPr>
                <w:rFonts w:hint="eastAsia" w:ascii="仿宋_GB2312" w:hAnsi="仿宋_GB2312" w:eastAsia="仿宋_GB2312" w:cs="仿宋_GB2312"/>
                <w:spacing w:val="12"/>
                <w:sz w:val="30"/>
                <w:szCs w:val="30"/>
              </w:rPr>
            </w:pPr>
            <w:r>
              <w:rPr>
                <w:rFonts w:hint="default" w:ascii="Times New Roman" w:hAnsi="Times New Roman" w:eastAsia="仿宋_GB2312" w:cs="Times New Roman"/>
                <w:spacing w:val="12"/>
                <w:sz w:val="30"/>
                <w:szCs w:val="30"/>
              </w:rPr>
              <w:t>1</w:t>
            </w:r>
          </w:p>
        </w:tc>
        <w:tc>
          <w:tcPr>
            <w:tcW w:w="2394"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2"/>
                <w:sz w:val="30"/>
                <w:szCs w:val="30"/>
              </w:rPr>
            </w:pPr>
            <w:r>
              <w:rPr>
                <w:rFonts w:hint="eastAsia" w:ascii="仿宋_GB2312" w:hAnsi="仿宋_GB2312" w:eastAsia="仿宋_GB2312" w:cs="仿宋_GB2312"/>
                <w:spacing w:val="12"/>
                <w:sz w:val="30"/>
                <w:szCs w:val="30"/>
              </w:rPr>
              <w:t>进(退)穴费</w:t>
            </w:r>
          </w:p>
        </w:tc>
        <w:tc>
          <w:tcPr>
            <w:tcW w:w="3731"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648" w:firstLineChars="200"/>
              <w:jc w:val="center"/>
              <w:textAlignment w:val="baseline"/>
              <w:rPr>
                <w:rFonts w:hint="eastAsia" w:ascii="仿宋_GB2312" w:hAnsi="仿宋_GB2312" w:eastAsia="仿宋_GB2312" w:cs="仿宋_GB2312"/>
                <w:spacing w:val="12"/>
                <w:sz w:val="30"/>
                <w:szCs w:val="30"/>
              </w:rPr>
            </w:pPr>
            <w:r>
              <w:rPr>
                <w:rFonts w:hint="eastAsia" w:ascii="仿宋_GB2312" w:hAnsi="仿宋_GB2312" w:eastAsia="仿宋_GB2312" w:cs="仿宋_GB2312"/>
                <w:spacing w:val="12"/>
                <w:sz w:val="30"/>
                <w:szCs w:val="30"/>
              </w:rPr>
              <w:t>/</w:t>
            </w:r>
          </w:p>
        </w:tc>
        <w:tc>
          <w:tcPr>
            <w:tcW w:w="156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2"/>
                <w:sz w:val="30"/>
                <w:szCs w:val="30"/>
              </w:rPr>
            </w:pPr>
            <w:r>
              <w:rPr>
                <w:rFonts w:hint="default" w:ascii="Times New Roman" w:hAnsi="Times New Roman" w:eastAsia="仿宋_GB2312" w:cs="Times New Roman"/>
                <w:spacing w:val="12"/>
                <w:sz w:val="30"/>
                <w:szCs w:val="30"/>
                <w:lang w:val="en-US" w:eastAsia="zh-CN"/>
              </w:rPr>
              <w:t>400</w:t>
            </w:r>
            <w:r>
              <w:rPr>
                <w:rFonts w:hint="eastAsia" w:ascii="仿宋_GB2312" w:hAnsi="仿宋_GB2312" w:eastAsia="仿宋_GB2312" w:cs="仿宋_GB2312"/>
                <w:spacing w:val="12"/>
                <w:sz w:val="30"/>
                <w:szCs w:val="30"/>
              </w:rPr>
              <w:t>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913" w:type="dxa"/>
            <w:vMerge w:val="restart"/>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324" w:firstLineChars="100"/>
              <w:jc w:val="center"/>
              <w:textAlignment w:val="baseline"/>
              <w:rPr>
                <w:rFonts w:hint="eastAsia" w:ascii="仿宋_GB2312" w:hAnsi="仿宋_GB2312" w:eastAsia="仿宋_GB2312" w:cs="仿宋_GB2312"/>
                <w:spacing w:val="12"/>
                <w:sz w:val="30"/>
                <w:szCs w:val="30"/>
              </w:rPr>
            </w:pPr>
            <w:r>
              <w:rPr>
                <w:rFonts w:hint="default" w:ascii="Times New Roman" w:hAnsi="Times New Roman" w:eastAsia="仿宋_GB2312" w:cs="Times New Roman"/>
                <w:spacing w:val="12"/>
                <w:sz w:val="30"/>
                <w:szCs w:val="30"/>
              </w:rPr>
              <w:t>2</w:t>
            </w:r>
          </w:p>
        </w:tc>
        <w:tc>
          <w:tcPr>
            <w:tcW w:w="2394" w:type="dxa"/>
            <w:vMerge w:val="restart"/>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2"/>
                <w:sz w:val="30"/>
                <w:szCs w:val="30"/>
              </w:rPr>
            </w:pPr>
            <w:r>
              <w:rPr>
                <w:rFonts w:hint="eastAsia" w:ascii="仿宋_GB2312" w:hAnsi="仿宋_GB2312" w:eastAsia="仿宋_GB2312" w:cs="仿宋_GB2312"/>
                <w:spacing w:val="12"/>
                <w:sz w:val="30"/>
                <w:szCs w:val="30"/>
              </w:rPr>
              <w:t>墓碑刻制服务</w:t>
            </w:r>
          </w:p>
        </w:tc>
        <w:tc>
          <w:tcPr>
            <w:tcW w:w="3731"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2"/>
                <w:sz w:val="30"/>
                <w:szCs w:val="30"/>
                <w:lang w:val="en-US" w:eastAsia="zh-CN"/>
              </w:rPr>
            </w:pPr>
            <w:r>
              <w:rPr>
                <w:rFonts w:hint="eastAsia" w:ascii="仿宋_GB2312" w:hAnsi="仿宋_GB2312" w:eastAsia="仿宋_GB2312" w:cs="仿宋_GB2312"/>
                <w:spacing w:val="12"/>
                <w:sz w:val="30"/>
                <w:szCs w:val="30"/>
              </w:rPr>
              <w:t>首次刻字</w:t>
            </w:r>
            <w:r>
              <w:rPr>
                <w:rFonts w:hint="eastAsia" w:ascii="仿宋_GB2312" w:hAnsi="仿宋_GB2312" w:eastAsia="仿宋_GB2312" w:cs="仿宋_GB2312"/>
                <w:spacing w:val="12"/>
                <w:sz w:val="30"/>
                <w:szCs w:val="30"/>
                <w:lang w:eastAsia="zh-CN"/>
              </w:rPr>
              <w:t>（</w:t>
            </w:r>
            <w:r>
              <w:rPr>
                <w:rFonts w:hint="default" w:ascii="Times New Roman" w:hAnsi="Times New Roman" w:eastAsia="仿宋_GB2312" w:cs="Times New Roman"/>
                <w:spacing w:val="12"/>
                <w:sz w:val="30"/>
                <w:szCs w:val="30"/>
                <w:lang w:val="en-US" w:eastAsia="zh-CN"/>
              </w:rPr>
              <w:t>40</w:t>
            </w:r>
            <w:r>
              <w:rPr>
                <w:rFonts w:hint="eastAsia" w:ascii="仿宋_GB2312" w:hAnsi="仿宋_GB2312" w:eastAsia="仿宋_GB2312" w:cs="仿宋_GB2312"/>
                <w:spacing w:val="12"/>
                <w:sz w:val="30"/>
                <w:szCs w:val="30"/>
                <w:lang w:val="en-US" w:eastAsia="zh-CN"/>
              </w:rPr>
              <w:t>个字以内</w:t>
            </w:r>
            <w:r>
              <w:rPr>
                <w:rFonts w:hint="eastAsia" w:ascii="仿宋_GB2312" w:hAnsi="仿宋_GB2312" w:eastAsia="仿宋_GB2312" w:cs="仿宋_GB2312"/>
                <w:spacing w:val="12"/>
                <w:sz w:val="30"/>
                <w:szCs w:val="30"/>
                <w:lang w:eastAsia="zh-CN"/>
              </w:rPr>
              <w:t>）</w:t>
            </w:r>
          </w:p>
        </w:tc>
        <w:tc>
          <w:tcPr>
            <w:tcW w:w="156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2"/>
                <w:sz w:val="30"/>
                <w:szCs w:val="30"/>
              </w:rPr>
            </w:pPr>
            <w:r>
              <w:rPr>
                <w:rFonts w:hint="default" w:ascii="Times New Roman" w:hAnsi="Times New Roman" w:eastAsia="仿宋_GB2312" w:cs="Times New Roman"/>
                <w:spacing w:val="12"/>
                <w:sz w:val="30"/>
                <w:szCs w:val="30"/>
                <w:lang w:val="en-US" w:eastAsia="zh-CN"/>
              </w:rPr>
              <w:t>2</w:t>
            </w:r>
            <w:r>
              <w:rPr>
                <w:rFonts w:hint="default" w:ascii="Times New Roman" w:hAnsi="Times New Roman" w:eastAsia="仿宋_GB2312" w:cs="Times New Roman"/>
                <w:spacing w:val="12"/>
                <w:sz w:val="30"/>
                <w:szCs w:val="30"/>
              </w:rPr>
              <w:t>00</w:t>
            </w:r>
            <w:r>
              <w:rPr>
                <w:rFonts w:hint="eastAsia" w:ascii="仿宋_GB2312" w:hAnsi="仿宋_GB2312" w:eastAsia="仿宋_GB2312" w:cs="仿宋_GB2312"/>
                <w:spacing w:val="12"/>
                <w:sz w:val="30"/>
                <w:szCs w:val="30"/>
              </w:rPr>
              <w:t>元/张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913" w:type="dxa"/>
            <w:vMerge w:val="continue"/>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09" w:line="520" w:lineRule="exact"/>
              <w:ind w:right="215" w:firstLine="648" w:firstLineChars="200"/>
              <w:jc w:val="center"/>
              <w:textAlignment w:val="baseline"/>
              <w:rPr>
                <w:rFonts w:hint="eastAsia" w:ascii="仿宋_GB2312" w:hAnsi="仿宋_GB2312" w:eastAsia="仿宋_GB2312" w:cs="仿宋_GB2312"/>
                <w:spacing w:val="12"/>
                <w:sz w:val="30"/>
                <w:szCs w:val="30"/>
              </w:rPr>
            </w:pPr>
          </w:p>
        </w:tc>
        <w:tc>
          <w:tcPr>
            <w:tcW w:w="2394" w:type="dxa"/>
            <w:vMerge w:val="continue"/>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09" w:line="520" w:lineRule="exact"/>
              <w:ind w:right="215" w:firstLine="648" w:firstLineChars="200"/>
              <w:jc w:val="center"/>
              <w:textAlignment w:val="baseline"/>
              <w:rPr>
                <w:rFonts w:hint="eastAsia" w:ascii="仿宋_GB2312" w:hAnsi="仿宋_GB2312" w:eastAsia="仿宋_GB2312" w:cs="仿宋_GB2312"/>
                <w:spacing w:val="12"/>
                <w:sz w:val="30"/>
                <w:szCs w:val="30"/>
              </w:rPr>
            </w:pPr>
          </w:p>
        </w:tc>
        <w:tc>
          <w:tcPr>
            <w:tcW w:w="3731"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648" w:firstLineChars="200"/>
              <w:jc w:val="center"/>
              <w:textAlignment w:val="baseline"/>
              <w:rPr>
                <w:rFonts w:hint="eastAsia" w:ascii="仿宋_GB2312" w:hAnsi="仿宋_GB2312" w:eastAsia="仿宋_GB2312" w:cs="仿宋_GB2312"/>
                <w:spacing w:val="12"/>
                <w:sz w:val="30"/>
                <w:szCs w:val="30"/>
                <w:lang w:val="en-US" w:eastAsia="zh-CN"/>
              </w:rPr>
            </w:pPr>
            <w:r>
              <w:rPr>
                <w:rFonts w:hint="eastAsia" w:ascii="仿宋_GB2312" w:hAnsi="仿宋_GB2312" w:eastAsia="仿宋_GB2312" w:cs="仿宋_GB2312"/>
                <w:spacing w:val="12"/>
                <w:sz w:val="30"/>
                <w:szCs w:val="30"/>
                <w:lang w:eastAsia="zh-CN"/>
              </w:rPr>
              <w:t>超过</w:t>
            </w:r>
            <w:r>
              <w:rPr>
                <w:rFonts w:hint="default" w:ascii="Times New Roman" w:hAnsi="Times New Roman" w:eastAsia="仿宋_GB2312" w:cs="Times New Roman"/>
                <w:spacing w:val="12"/>
                <w:sz w:val="30"/>
                <w:szCs w:val="30"/>
                <w:lang w:val="en-US" w:eastAsia="zh-CN"/>
              </w:rPr>
              <w:t>40</w:t>
            </w:r>
            <w:r>
              <w:rPr>
                <w:rFonts w:hint="eastAsia" w:ascii="仿宋_GB2312" w:hAnsi="仿宋_GB2312" w:eastAsia="仿宋_GB2312" w:cs="仿宋_GB2312"/>
                <w:spacing w:val="12"/>
                <w:sz w:val="30"/>
                <w:szCs w:val="30"/>
                <w:lang w:val="en-US" w:eastAsia="zh-CN"/>
              </w:rPr>
              <w:t>个字以外</w:t>
            </w:r>
          </w:p>
        </w:tc>
        <w:tc>
          <w:tcPr>
            <w:tcW w:w="156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2"/>
                <w:sz w:val="30"/>
                <w:szCs w:val="30"/>
                <w:lang w:val="en-US" w:eastAsia="zh-CN"/>
              </w:rPr>
            </w:pPr>
            <w:r>
              <w:rPr>
                <w:rFonts w:hint="default" w:ascii="Times New Roman" w:hAnsi="Times New Roman" w:eastAsia="仿宋_GB2312" w:cs="Times New Roman"/>
                <w:spacing w:val="12"/>
                <w:sz w:val="30"/>
                <w:szCs w:val="30"/>
                <w:lang w:val="en-US" w:eastAsia="zh-CN"/>
              </w:rPr>
              <w:t>6</w:t>
            </w:r>
            <w:r>
              <w:rPr>
                <w:rFonts w:hint="eastAsia" w:ascii="仿宋_GB2312" w:hAnsi="仿宋_GB2312" w:eastAsia="仿宋_GB2312" w:cs="仿宋_GB2312"/>
                <w:spacing w:val="12"/>
                <w:sz w:val="30"/>
                <w:szCs w:val="30"/>
                <w:lang w:val="en-US" w:eastAsia="zh-CN"/>
              </w:rPr>
              <w:t>元/字</w:t>
            </w:r>
          </w:p>
        </w:tc>
      </w:tr>
    </w:tbl>
    <w:p>
      <w:pPr>
        <w:pStyle w:val="2"/>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公益性</w:t>
      </w:r>
      <w:r>
        <w:rPr>
          <w:rFonts w:hint="eastAsia" w:ascii="仿宋_GB2312" w:hAnsi="仿宋_GB2312" w:eastAsia="仿宋_GB2312" w:cs="仿宋_GB2312"/>
          <w:spacing w:val="0"/>
          <w:sz w:val="32"/>
          <w:szCs w:val="32"/>
          <w:lang w:val="en-US" w:eastAsia="zh-CN"/>
        </w:rPr>
        <w:t>公墓</w:t>
      </w:r>
      <w:r>
        <w:rPr>
          <w:rFonts w:hint="eastAsia" w:ascii="仿宋_GB2312" w:hAnsi="仿宋_GB2312" w:eastAsia="仿宋_GB2312" w:cs="仿宋_GB2312"/>
          <w:spacing w:val="0"/>
          <w:sz w:val="32"/>
          <w:szCs w:val="32"/>
        </w:rPr>
        <w:t>的延伸服务收费标准和其他公墓的相关服务收费标准，由公墓单位与客户按照公开、公平、合理收益和诚实信用原则协议约定。</w:t>
      </w: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五、相关要求</w:t>
      </w: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各公墓单位应当对低保户等困难家庭实行优惠，具体优惠办法由公墓单位确定并报</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民政局备案。</w:t>
      </w: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bCs/>
          <w:spacing w:val="0"/>
          <w:sz w:val="32"/>
          <w:szCs w:val="32"/>
        </w:rPr>
      </w:pPr>
      <w:r>
        <w:rPr>
          <w:rFonts w:hint="eastAsia" w:ascii="仿宋_GB2312" w:hAnsi="仿宋_GB2312" w:eastAsia="仿宋_GB2312" w:cs="仿宋_GB2312"/>
          <w:spacing w:val="0"/>
          <w:sz w:val="32"/>
          <w:szCs w:val="32"/>
        </w:rPr>
        <w:t>各公益性</w:t>
      </w:r>
      <w:r>
        <w:rPr>
          <w:rFonts w:hint="eastAsia" w:ascii="仿宋_GB2312" w:hAnsi="仿宋_GB2312" w:eastAsia="仿宋_GB2312" w:cs="仿宋_GB2312"/>
          <w:spacing w:val="0"/>
          <w:sz w:val="32"/>
          <w:szCs w:val="32"/>
          <w:lang w:val="en-US" w:eastAsia="zh-CN"/>
        </w:rPr>
        <w:t>公墓</w:t>
      </w:r>
      <w:r>
        <w:rPr>
          <w:rFonts w:hint="eastAsia" w:ascii="仿宋_GB2312" w:hAnsi="仿宋_GB2312" w:eastAsia="仿宋_GB2312" w:cs="仿宋_GB2312"/>
          <w:spacing w:val="0"/>
          <w:sz w:val="32"/>
          <w:szCs w:val="32"/>
        </w:rPr>
        <w:t>单位应严格执行备案登记的收费项目和标准，在收费场所醒目位置公示服务内容、收费项目和收费标准，自觉接受有关部门和群众的监督；不得违反公平自愿原则，明确服务内容、收费项目和收费标准。</w:t>
      </w: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六、执行时间</w:t>
      </w:r>
    </w:p>
    <w:p>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本通知</w:t>
      </w:r>
      <w:r>
        <w:rPr>
          <w:rFonts w:hint="eastAsia" w:ascii="仿宋_GB2312" w:hAnsi="仿宋_GB2312" w:eastAsia="仿宋_GB2312" w:cs="仿宋_GB2312"/>
          <w:spacing w:val="4"/>
          <w:sz w:val="32"/>
          <w:szCs w:val="32"/>
          <w:lang w:eastAsia="zh-CN"/>
        </w:rPr>
        <w:t>拟</w:t>
      </w:r>
      <w:r>
        <w:rPr>
          <w:rFonts w:hint="eastAsia" w:ascii="仿宋_GB2312" w:hAnsi="仿宋_GB2312" w:eastAsia="仿宋_GB2312" w:cs="仿宋_GB2312"/>
          <w:spacing w:val="4"/>
          <w:sz w:val="32"/>
          <w:szCs w:val="32"/>
        </w:rPr>
        <w:t>自</w:t>
      </w:r>
      <w:r>
        <w:rPr>
          <w:rFonts w:hint="default" w:ascii="Times New Roman" w:hAnsi="Times New Roman" w:eastAsia="仿宋_GB2312" w:cs="Times New Roman"/>
          <w:spacing w:val="4"/>
          <w:sz w:val="32"/>
          <w:szCs w:val="32"/>
        </w:rPr>
        <w:t>2025</w:t>
      </w:r>
      <w:r>
        <w:rPr>
          <w:rFonts w:hint="eastAsia" w:ascii="仿宋_GB2312" w:hAnsi="仿宋_GB2312" w:eastAsia="仿宋_GB2312" w:cs="仿宋_GB2312"/>
          <w:spacing w:val="4"/>
          <w:sz w:val="32"/>
          <w:szCs w:val="32"/>
        </w:rPr>
        <w:t>年</w:t>
      </w:r>
      <w:r>
        <w:rPr>
          <w:rFonts w:hint="default" w:ascii="Times New Roman" w:hAnsi="Times New Roman" w:eastAsia="仿宋_GB2312" w:cs="Times New Roman"/>
          <w:spacing w:val="4"/>
          <w:sz w:val="32"/>
          <w:szCs w:val="32"/>
          <w:lang w:val="en-US" w:eastAsia="zh-CN"/>
        </w:rPr>
        <w:t>4</w:t>
      </w:r>
      <w:r>
        <w:rPr>
          <w:rFonts w:hint="eastAsia" w:ascii="仿宋_GB2312" w:hAnsi="仿宋_GB2312" w:eastAsia="仿宋_GB2312" w:cs="仿宋_GB2312"/>
          <w:spacing w:val="4"/>
          <w:sz w:val="32"/>
          <w:szCs w:val="32"/>
        </w:rPr>
        <w:t>月</w:t>
      </w:r>
      <w:r>
        <w:rPr>
          <w:rFonts w:hint="default" w:ascii="Times New Roman" w:hAnsi="Times New Roman" w:eastAsia="仿宋_GB2312" w:cs="Times New Roman"/>
          <w:spacing w:val="4"/>
          <w:sz w:val="32"/>
          <w:szCs w:val="32"/>
          <w:lang w:val="en-US" w:eastAsia="zh-CN"/>
        </w:rPr>
        <w:t>8</w:t>
      </w:r>
      <w:r>
        <w:rPr>
          <w:rFonts w:hint="eastAsia" w:ascii="仿宋_GB2312" w:hAnsi="仿宋_GB2312" w:eastAsia="仿宋_GB2312" w:cs="仿宋_GB2312"/>
          <w:spacing w:val="4"/>
          <w:sz w:val="32"/>
          <w:szCs w:val="32"/>
        </w:rPr>
        <w:t>日起执行。</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6" w:firstLineChars="200"/>
        <w:jc w:val="both"/>
        <w:textAlignment w:val="baseline"/>
        <w:rPr>
          <w:rFonts w:hint="eastAsia" w:ascii="仿宋_GB2312" w:hAnsi="仿宋_GB2312" w:eastAsia="仿宋_GB2312" w:cs="仿宋_GB2312"/>
          <w:spacing w:val="9"/>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6"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附件：</w:t>
      </w:r>
      <w:r>
        <w:rPr>
          <w:rFonts w:hint="default" w:ascii="Times New Roman" w:hAnsi="Times New Roman" w:eastAsia="仿宋_GB2312" w:cs="Times New Roman"/>
          <w:spacing w:val="9"/>
          <w:sz w:val="32"/>
          <w:szCs w:val="32"/>
          <w:lang w:val="en-US" w:eastAsia="zh-CN"/>
        </w:rPr>
        <w:t>1</w:t>
      </w:r>
      <w:r>
        <w:rPr>
          <w:rFonts w:hint="eastAsia" w:ascii="仿宋_GB2312" w:hAnsi="仿宋_GB2312" w:eastAsia="仿宋_GB2312" w:cs="仿宋_GB2312"/>
          <w:spacing w:val="9"/>
          <w:sz w:val="32"/>
          <w:szCs w:val="32"/>
          <w:lang w:val="en-US" w:eastAsia="zh-CN"/>
        </w:rPr>
        <w:t>.</w:t>
      </w:r>
      <w:r>
        <w:rPr>
          <w:rFonts w:hint="eastAsia" w:ascii="仿宋_GB2312" w:hAnsi="仿宋_GB2312" w:eastAsia="仿宋_GB2312" w:cs="仿宋_GB2312"/>
          <w:spacing w:val="9"/>
          <w:sz w:val="32"/>
          <w:szCs w:val="32"/>
        </w:rPr>
        <w:t>台州市公墓基本服务收费项目清单</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700" w:firstLineChars="500"/>
        <w:jc w:val="both"/>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pacing w:val="10"/>
          <w:sz w:val="32"/>
          <w:szCs w:val="32"/>
          <w:lang w:val="en-US" w:eastAsia="zh-CN"/>
        </w:rPr>
        <w:t>2</w:t>
      </w:r>
      <w:r>
        <w:rPr>
          <w:rFonts w:hint="eastAsia" w:ascii="仿宋_GB2312" w:hAnsi="仿宋_GB2312" w:eastAsia="仿宋_GB2312" w:cs="仿宋_GB2312"/>
          <w:spacing w:val="10"/>
          <w:sz w:val="32"/>
          <w:szCs w:val="32"/>
          <w:lang w:val="en-US" w:eastAsia="zh-CN"/>
        </w:rPr>
        <w:t>.</w:t>
      </w:r>
      <w:r>
        <w:rPr>
          <w:rFonts w:hint="eastAsia" w:ascii="仿宋_GB2312" w:hAnsi="仿宋_GB2312" w:eastAsia="仿宋_GB2312" w:cs="仿宋_GB2312"/>
          <w:spacing w:val="10"/>
          <w:sz w:val="32"/>
          <w:szCs w:val="32"/>
        </w:rPr>
        <w:t>台州市公墓延伸服务收费项目清单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position w:val="-2"/>
          <w:sz w:val="32"/>
          <w:szCs w:val="32"/>
          <w:lang w:eastAsia="zh-CN"/>
        </w:rPr>
        <w:t>台州市路桥区</w:t>
      </w:r>
      <w:r>
        <w:rPr>
          <w:rFonts w:hint="eastAsia" w:ascii="仿宋_GB2312" w:hAnsi="仿宋_GB2312" w:eastAsia="仿宋_GB2312" w:cs="仿宋_GB2312"/>
          <w:spacing w:val="17"/>
          <w:position w:val="-2"/>
          <w:sz w:val="32"/>
          <w:szCs w:val="32"/>
        </w:rPr>
        <w:t>发展和改革局</w:t>
      </w:r>
      <w:r>
        <w:rPr>
          <w:rFonts w:hint="eastAsia" w:ascii="仿宋_GB2312" w:hAnsi="仿宋_GB2312" w:eastAsia="仿宋_GB2312" w:cs="仿宋_GB2312"/>
          <w:spacing w:val="2"/>
          <w:position w:val="-2"/>
          <w:sz w:val="32"/>
          <w:szCs w:val="32"/>
        </w:rPr>
        <w:t xml:space="preserve">   </w:t>
      </w:r>
      <w:r>
        <w:rPr>
          <w:rFonts w:hint="eastAsia" w:ascii="仿宋_GB2312" w:hAnsi="仿宋_GB2312" w:eastAsia="仿宋_GB2312" w:cs="仿宋_GB2312"/>
          <w:spacing w:val="2"/>
          <w:position w:val="-2"/>
          <w:sz w:val="32"/>
          <w:szCs w:val="32"/>
          <w:lang w:val="en-US" w:eastAsia="zh-CN"/>
        </w:rPr>
        <w:t xml:space="preserve"> </w:t>
      </w:r>
      <w:r>
        <w:rPr>
          <w:rFonts w:hint="eastAsia" w:ascii="仿宋_GB2312" w:hAnsi="仿宋_GB2312" w:eastAsia="仿宋_GB2312" w:cs="仿宋_GB2312"/>
          <w:spacing w:val="2"/>
          <w:position w:val="-2"/>
          <w:sz w:val="32"/>
          <w:szCs w:val="32"/>
        </w:rPr>
        <w:t xml:space="preserve"> </w:t>
      </w:r>
      <w:r>
        <w:rPr>
          <w:rFonts w:hint="eastAsia" w:ascii="仿宋_GB2312" w:hAnsi="仿宋_GB2312" w:eastAsia="仿宋_GB2312" w:cs="仿宋_GB2312"/>
          <w:spacing w:val="2"/>
          <w:position w:val="-2"/>
          <w:sz w:val="32"/>
          <w:szCs w:val="32"/>
          <w:lang w:val="en-US" w:eastAsia="zh-CN"/>
        </w:rPr>
        <w:t xml:space="preserve">   </w:t>
      </w:r>
      <w:r>
        <w:rPr>
          <w:rFonts w:hint="eastAsia" w:ascii="仿宋_GB2312" w:hAnsi="仿宋_GB2312" w:eastAsia="仿宋_GB2312" w:cs="仿宋_GB2312"/>
          <w:spacing w:val="2"/>
          <w:position w:val="-2"/>
          <w:sz w:val="32"/>
          <w:szCs w:val="32"/>
        </w:rPr>
        <w:t xml:space="preserve">  </w:t>
      </w:r>
      <w:r>
        <w:rPr>
          <w:rFonts w:hint="eastAsia" w:ascii="仿宋_GB2312" w:hAnsi="仿宋_GB2312" w:eastAsia="仿宋_GB2312" w:cs="仿宋_GB2312"/>
          <w:spacing w:val="2"/>
          <w:position w:val="-2"/>
          <w:sz w:val="32"/>
          <w:szCs w:val="32"/>
          <w:lang w:eastAsia="zh-CN"/>
        </w:rPr>
        <w:t>台州市路桥区民政局</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hint="eastAsia" w:ascii="仿宋_GB2312" w:hAnsi="仿宋_GB2312" w:eastAsia="仿宋_GB2312" w:cs="仿宋_GB2312"/>
          <w:spacing w:val="5"/>
          <w:sz w:val="32"/>
          <w:szCs w:val="32"/>
        </w:rPr>
      </w:pPr>
    </w:p>
    <w:p>
      <w:pPr>
        <w:pStyle w:val="2"/>
        <w:keepNext w:val="0"/>
        <w:keepLines w:val="0"/>
        <w:pageBreakBefore w:val="0"/>
        <w:widowControl/>
        <w:kinsoku w:val="0"/>
        <w:wordWrap w:val="0"/>
        <w:overflowPunct/>
        <w:topLinePunct w:val="0"/>
        <w:autoSpaceDE w:val="0"/>
        <w:autoSpaceDN w:val="0"/>
        <w:bidi w:val="0"/>
        <w:adjustRightInd w:val="0"/>
        <w:snapToGrid w:val="0"/>
        <w:spacing w:line="600" w:lineRule="exact"/>
        <w:ind w:left="0" w:right="0"/>
        <w:jc w:val="right"/>
        <w:textAlignment w:val="baseline"/>
        <w:rPr>
          <w:rFonts w:hint="default" w:ascii="仿宋_GB2312" w:hAnsi="仿宋_GB2312" w:eastAsia="仿宋_GB2312" w:cs="仿宋_GB2312"/>
          <w:spacing w:val="0"/>
          <w:sz w:val="32"/>
          <w:szCs w:val="32"/>
          <w:lang w:val="en-US" w:eastAsia="zh-CN"/>
        </w:rPr>
      </w:pP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5</w:t>
      </w:r>
      <w:r>
        <w:rPr>
          <w:rFonts w:hint="eastAsia" w:ascii="仿宋_GB2312" w:hAnsi="仿宋_GB2312" w:eastAsia="仿宋_GB2312" w:cs="仿宋_GB2312"/>
          <w:spacing w:val="0"/>
          <w:sz w:val="32"/>
          <w:szCs w:val="32"/>
        </w:rPr>
        <w:t>年</w:t>
      </w:r>
      <w:r>
        <w:rPr>
          <w:rFonts w:hint="default" w:ascii="Times New Roman" w:hAnsi="Times New Roman" w:eastAsia="仿宋_GB2312" w:cs="Times New Roman"/>
          <w:spacing w:val="0"/>
          <w:sz w:val="32"/>
          <w:szCs w:val="32"/>
          <w:lang w:val="en-US" w:eastAsia="zh-CN"/>
        </w:rPr>
        <w:t>3</w:t>
      </w:r>
      <w:r>
        <w:rPr>
          <w:rFonts w:hint="eastAsia" w:ascii="仿宋_GB2312" w:hAnsi="仿宋_GB2312" w:eastAsia="仿宋_GB2312" w:cs="仿宋_GB2312"/>
          <w:spacing w:val="0"/>
          <w:sz w:val="32"/>
          <w:szCs w:val="32"/>
        </w:rPr>
        <w:t>月</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1</w:t>
      </w:r>
      <w:r>
        <w:rPr>
          <w:rFonts w:hint="eastAsia" w:ascii="仿宋_GB2312" w:hAnsi="仿宋_GB2312" w:eastAsia="仿宋_GB2312" w:cs="仿宋_GB2312"/>
          <w:spacing w:val="0"/>
          <w:sz w:val="32"/>
          <w:szCs w:val="32"/>
        </w:rPr>
        <w:t>日</w:t>
      </w:r>
      <w:r>
        <w:rPr>
          <w:rFonts w:hint="eastAsia" w:ascii="仿宋_GB2312" w:hAnsi="仿宋_GB2312" w:eastAsia="仿宋_GB2312" w:cs="仿宋_GB2312"/>
          <w:spacing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hint="eastAsia" w:ascii="仿宋_GB2312" w:hAnsi="仿宋_GB2312" w:eastAsia="仿宋_GB2312" w:cs="仿宋_GB2312"/>
          <w:spacing w:val="0"/>
          <w:sz w:val="32"/>
          <w:szCs w:val="32"/>
        </w:rPr>
        <w:sectPr>
          <w:footerReference r:id="rId3" w:type="default"/>
          <w:footerReference r:id="rId4" w:type="even"/>
          <w:pgSz w:w="11911" w:h="16849"/>
          <w:pgMar w:top="1984" w:right="1502" w:bottom="1928" w:left="1502" w:header="850" w:footer="1417" w:gutter="0"/>
          <w:pgNumType w:fmt="numberInDash"/>
          <w:cols w:space="0" w:num="1"/>
          <w:rtlGutter w:val="0"/>
          <w:docGrid w:linePitch="0" w:charSpace="0"/>
        </w:sectPr>
      </w:pPr>
    </w:p>
    <w:p>
      <w:pPr>
        <w:pStyle w:val="2"/>
        <w:spacing w:before="101" w:line="222" w:lineRule="auto"/>
        <w:rPr>
          <w:rFonts w:hint="eastAsia" w:ascii="黑体" w:hAnsi="黑体" w:eastAsia="黑体" w:cs="黑体"/>
          <w:sz w:val="32"/>
          <w:szCs w:val="32"/>
        </w:rPr>
      </w:pPr>
      <w:r>
        <w:rPr>
          <w:rFonts w:hint="eastAsia" w:ascii="黑体" w:hAnsi="黑体" w:eastAsia="黑体" w:cs="黑体"/>
          <w:spacing w:val="-1"/>
          <w:sz w:val="32"/>
          <w:szCs w:val="32"/>
        </w:rPr>
        <w:t>附件</w:t>
      </w:r>
      <w:r>
        <w:rPr>
          <w:rFonts w:hint="default" w:ascii="Times New Roman" w:hAnsi="Times New Roman" w:eastAsia="黑体" w:cs="Times New Roman"/>
          <w:spacing w:val="-1"/>
          <w:sz w:val="32"/>
          <w:szCs w:val="32"/>
        </w:rPr>
        <w:t>1</w:t>
      </w:r>
    </w:p>
    <w:p>
      <w:pPr>
        <w:spacing w:line="479" w:lineRule="auto"/>
        <w:rPr>
          <w:rFonts w:hint="eastAsia" w:ascii="国标仿宋" w:hAnsi="国标仿宋" w:eastAsia="国标仿宋" w:cs="国标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8"/>
          <w:sz w:val="44"/>
          <w:szCs w:val="44"/>
        </w:rPr>
        <w:t>台州市公墓基本服务收费项目清单</w:t>
      </w:r>
    </w:p>
    <w:tbl>
      <w:tblPr>
        <w:tblStyle w:val="12"/>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1782"/>
        <w:gridCol w:w="1407"/>
        <w:gridCol w:w="4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881"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z w:val="30"/>
                <w:szCs w:val="30"/>
              </w:rPr>
            </w:pPr>
            <w:r>
              <w:rPr>
                <w:rFonts w:hint="eastAsia" w:ascii="黑体" w:hAnsi="黑体" w:eastAsia="黑体" w:cs="黑体"/>
                <w:b w:val="0"/>
                <w:bCs w:val="0"/>
                <w:spacing w:val="-7"/>
                <w:sz w:val="30"/>
                <w:szCs w:val="30"/>
              </w:rPr>
              <w:t>序号</w:t>
            </w:r>
          </w:p>
        </w:tc>
        <w:tc>
          <w:tcPr>
            <w:tcW w:w="178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z w:val="30"/>
                <w:szCs w:val="30"/>
              </w:rPr>
            </w:pPr>
            <w:r>
              <w:rPr>
                <w:rFonts w:hint="eastAsia" w:ascii="黑体" w:hAnsi="黑体" w:eastAsia="黑体" w:cs="黑体"/>
                <w:b w:val="0"/>
                <w:bCs w:val="0"/>
                <w:spacing w:val="-5"/>
                <w:sz w:val="30"/>
                <w:szCs w:val="30"/>
              </w:rPr>
              <w:t>项目名称</w:t>
            </w:r>
          </w:p>
        </w:tc>
        <w:tc>
          <w:tcPr>
            <w:tcW w:w="1407"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z w:val="30"/>
                <w:szCs w:val="30"/>
              </w:rPr>
            </w:pPr>
            <w:r>
              <w:rPr>
                <w:rFonts w:hint="eastAsia" w:ascii="黑体" w:hAnsi="黑体" w:eastAsia="黑体" w:cs="黑体"/>
                <w:b w:val="0"/>
                <w:bCs w:val="0"/>
                <w:spacing w:val="-5"/>
                <w:sz w:val="30"/>
                <w:szCs w:val="30"/>
              </w:rPr>
              <w:t>计价单位</w:t>
            </w:r>
          </w:p>
        </w:tc>
        <w:tc>
          <w:tcPr>
            <w:tcW w:w="4717"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z w:val="30"/>
                <w:szCs w:val="30"/>
              </w:rPr>
            </w:pPr>
            <w:r>
              <w:rPr>
                <w:rFonts w:hint="eastAsia" w:ascii="黑体" w:hAnsi="黑体" w:eastAsia="黑体" w:cs="黑体"/>
                <w:b w:val="0"/>
                <w:bCs w:val="0"/>
                <w:spacing w:val="2"/>
                <w:sz w:val="30"/>
                <w:szCs w:val="30"/>
              </w:rPr>
              <w:t>项目说明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jc w:val="center"/>
        </w:trPr>
        <w:tc>
          <w:tcPr>
            <w:tcW w:w="881" w:type="dxa"/>
            <w:vMerge w:val="restart"/>
            <w:tcBorders>
              <w:bottom w:val="nil"/>
            </w:tcBorders>
            <w:vAlign w:val="center"/>
          </w:tcPr>
          <w:p>
            <w:pPr>
              <w:pStyle w:val="13"/>
              <w:spacing w:before="78" w:line="185"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position w:val="-5"/>
                <w:sz w:val="30"/>
                <w:szCs w:val="30"/>
              </w:rPr>
              <w:t>一</w:t>
            </w:r>
          </w:p>
        </w:tc>
        <w:tc>
          <w:tcPr>
            <w:tcW w:w="1782" w:type="dxa"/>
            <w:vMerge w:val="restart"/>
            <w:tcBorders>
              <w:bottom w:val="nil"/>
            </w:tcBorders>
            <w:vAlign w:val="center"/>
          </w:tcPr>
          <w:p>
            <w:pPr>
              <w:pStyle w:val="13"/>
              <w:spacing w:before="78" w:line="220" w:lineRule="auto"/>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进(退)</w:t>
            </w:r>
          </w:p>
          <w:p>
            <w:pPr>
              <w:pStyle w:val="13"/>
              <w:spacing w:before="78" w:line="220" w:lineRule="auto"/>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穴费</w:t>
            </w:r>
          </w:p>
        </w:tc>
        <w:tc>
          <w:tcPr>
            <w:tcW w:w="1407" w:type="dxa"/>
            <w:vMerge w:val="restart"/>
            <w:tcBorders>
              <w:bottom w:val="nil"/>
            </w:tcBorders>
            <w:vAlign w:val="center"/>
          </w:tcPr>
          <w:p>
            <w:pPr>
              <w:pStyle w:val="13"/>
              <w:spacing w:before="78" w:line="219" w:lineRule="auto"/>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次</w:t>
            </w:r>
          </w:p>
        </w:tc>
        <w:tc>
          <w:tcPr>
            <w:tcW w:w="4717"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162" w:line="240" w:lineRule="auto"/>
              <w:ind w:right="227"/>
              <w:jc w:val="left"/>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骨灰进穴入葬服务，包括开封板、放入骨灰盒 (坛)封穴。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jc w:val="center"/>
        </w:trPr>
        <w:tc>
          <w:tcPr>
            <w:tcW w:w="881" w:type="dxa"/>
            <w:vMerge w:val="continue"/>
            <w:tcBorders>
              <w:top w:val="nil"/>
            </w:tcBorders>
            <w:vAlign w:val="center"/>
          </w:tcPr>
          <w:p>
            <w:pPr>
              <w:jc w:val="center"/>
              <w:rPr>
                <w:rFonts w:hint="eastAsia" w:ascii="仿宋_GB2312" w:hAnsi="仿宋_GB2312" w:eastAsia="仿宋_GB2312" w:cs="仿宋_GB2312"/>
                <w:sz w:val="30"/>
                <w:szCs w:val="30"/>
              </w:rPr>
            </w:pPr>
          </w:p>
        </w:tc>
        <w:tc>
          <w:tcPr>
            <w:tcW w:w="1782" w:type="dxa"/>
            <w:vMerge w:val="continue"/>
            <w:tcBorders>
              <w:top w:val="nil"/>
            </w:tcBorders>
            <w:vAlign w:val="center"/>
          </w:tcPr>
          <w:p>
            <w:pPr>
              <w:jc w:val="center"/>
              <w:rPr>
                <w:rFonts w:hint="eastAsia" w:ascii="仿宋_GB2312" w:hAnsi="仿宋_GB2312" w:eastAsia="仿宋_GB2312" w:cs="仿宋_GB2312"/>
                <w:spacing w:val="0"/>
                <w:sz w:val="30"/>
                <w:szCs w:val="30"/>
              </w:rPr>
            </w:pPr>
          </w:p>
        </w:tc>
        <w:tc>
          <w:tcPr>
            <w:tcW w:w="1407" w:type="dxa"/>
            <w:vMerge w:val="continue"/>
            <w:tcBorders>
              <w:top w:val="nil"/>
            </w:tcBorders>
            <w:vAlign w:val="center"/>
          </w:tcPr>
          <w:p>
            <w:pPr>
              <w:jc w:val="center"/>
              <w:rPr>
                <w:rFonts w:hint="eastAsia" w:ascii="仿宋_GB2312" w:hAnsi="仿宋_GB2312" w:eastAsia="仿宋_GB2312" w:cs="仿宋_GB2312"/>
                <w:spacing w:val="0"/>
                <w:sz w:val="30"/>
                <w:szCs w:val="30"/>
              </w:rPr>
            </w:pPr>
          </w:p>
        </w:tc>
        <w:tc>
          <w:tcPr>
            <w:tcW w:w="4717"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152" w:line="240" w:lineRule="auto"/>
              <w:jc w:val="left"/>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遗骸进穴入葬服务，包括开封板、放入遗骸(骨)、封穴。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881" w:type="dxa"/>
            <w:vAlign w:val="center"/>
          </w:tcPr>
          <w:p>
            <w:pPr>
              <w:pStyle w:val="13"/>
              <w:spacing w:before="78" w:line="178"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p>
        </w:tc>
        <w:tc>
          <w:tcPr>
            <w:tcW w:w="1782" w:type="dxa"/>
            <w:vAlign w:val="center"/>
          </w:tcPr>
          <w:p>
            <w:pPr>
              <w:pStyle w:val="13"/>
              <w:spacing w:before="78" w:line="219" w:lineRule="auto"/>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墓碑刻制服务</w:t>
            </w:r>
          </w:p>
        </w:tc>
        <w:tc>
          <w:tcPr>
            <w:tcW w:w="1407" w:type="dxa"/>
            <w:vAlign w:val="center"/>
          </w:tcPr>
          <w:p>
            <w:pPr>
              <w:pStyle w:val="13"/>
              <w:spacing w:before="78" w:line="219" w:lineRule="auto"/>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个</w:t>
            </w:r>
          </w:p>
        </w:tc>
        <w:tc>
          <w:tcPr>
            <w:tcW w:w="4717"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235" w:line="240" w:lineRule="auto"/>
              <w:jc w:val="left"/>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指墓碑上首次刻字、描字服务，字体的大小由各 公墓单位根据实际情况自行确定。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8" w:hRule="atLeast"/>
          <w:jc w:val="center"/>
        </w:trPr>
        <w:tc>
          <w:tcPr>
            <w:tcW w:w="881" w:type="dxa"/>
            <w:vAlign w:val="center"/>
          </w:tcPr>
          <w:p>
            <w:pPr>
              <w:pStyle w:val="13"/>
              <w:spacing w:before="78" w:line="237"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p>
        </w:tc>
        <w:tc>
          <w:tcPr>
            <w:tcW w:w="1782" w:type="dxa"/>
            <w:vAlign w:val="center"/>
          </w:tcPr>
          <w:p>
            <w:pPr>
              <w:pStyle w:val="13"/>
              <w:spacing w:before="78" w:line="219" w:lineRule="auto"/>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综合服务费</w:t>
            </w:r>
          </w:p>
        </w:tc>
        <w:tc>
          <w:tcPr>
            <w:tcW w:w="1407" w:type="dxa"/>
            <w:vAlign w:val="center"/>
          </w:tcPr>
          <w:p>
            <w:pPr>
              <w:pStyle w:val="13"/>
              <w:spacing w:before="78" w:line="219" w:lineRule="auto"/>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年</w:t>
            </w:r>
          </w:p>
        </w:tc>
        <w:tc>
          <w:tcPr>
            <w:tcW w:w="4717"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196" w:line="240" w:lineRule="auto"/>
              <w:jc w:val="left"/>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每二十年收取一次，用于公墓日常环境保洁、安 保、绿化养护、道路维修、设施设备维护、零星 维修、祭扫高峰期间维护、日常工作人员等支出。</w:t>
            </w:r>
          </w:p>
        </w:tc>
      </w:tr>
    </w:tbl>
    <w:p/>
    <w:p/>
    <w:p/>
    <w:p/>
    <w:p/>
    <w:p/>
    <w:p/>
    <w:p/>
    <w:p/>
    <w:p/>
    <w:p/>
    <w:p/>
    <w:p/>
    <w:p>
      <w:pPr>
        <w:pStyle w:val="2"/>
        <w:spacing w:before="101" w:line="222" w:lineRule="auto"/>
        <w:rPr>
          <w:rFonts w:hint="eastAsia" w:ascii="黑体" w:hAnsi="黑体" w:eastAsia="黑体" w:cs="黑体"/>
          <w:spacing w:val="-1"/>
          <w:sz w:val="32"/>
          <w:szCs w:val="32"/>
        </w:rPr>
      </w:pPr>
      <w:r>
        <w:rPr>
          <w:rFonts w:hint="eastAsia" w:ascii="黑体" w:hAnsi="黑体" w:eastAsia="黑体" w:cs="黑体"/>
          <w:spacing w:val="-1"/>
          <w:sz w:val="32"/>
          <w:szCs w:val="32"/>
        </w:rPr>
        <w:t>附件</w:t>
      </w:r>
      <w:r>
        <w:rPr>
          <w:rFonts w:hint="default" w:ascii="Times New Roman" w:hAnsi="Times New Roman" w:eastAsia="黑体" w:cs="Times New Roman"/>
          <w:spacing w:val="-1"/>
          <w:sz w:val="32"/>
          <w:szCs w:val="32"/>
        </w:rPr>
        <w:t>2</w:t>
      </w:r>
    </w:p>
    <w:p>
      <w:pPr>
        <w:pStyle w:val="2"/>
        <w:spacing w:before="101" w:line="222" w:lineRule="auto"/>
        <w:rPr>
          <w:rFonts w:hint="eastAsia" w:ascii="黑体" w:hAnsi="黑体" w:eastAsia="黑体" w:cs="黑体"/>
          <w:spacing w:val="-1"/>
          <w:sz w:val="32"/>
          <w:szCs w:val="32"/>
          <w:lang w:eastAsia="zh-CN"/>
        </w:rPr>
      </w:pPr>
    </w:p>
    <w:p>
      <w:pPr>
        <w:spacing w:before="144"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台州市公墓延伸服务收费项目清单</w:t>
      </w:r>
    </w:p>
    <w:tbl>
      <w:tblPr>
        <w:tblStyle w:val="12"/>
        <w:tblW w:w="8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2327"/>
        <w:gridCol w:w="1307"/>
        <w:gridCol w:w="4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blHeader/>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spacing w:val="0"/>
                <w:sz w:val="28"/>
                <w:szCs w:val="28"/>
              </w:rPr>
            </w:pPr>
            <w:r>
              <w:rPr>
                <w:rFonts w:hint="eastAsia" w:ascii="黑体" w:hAnsi="黑体" w:eastAsia="黑体" w:cs="黑体"/>
                <w:spacing w:val="0"/>
                <w:sz w:val="28"/>
                <w:szCs w:val="28"/>
              </w:rPr>
              <w:t>序号</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spacing w:val="0"/>
                <w:sz w:val="28"/>
                <w:szCs w:val="28"/>
              </w:rPr>
            </w:pPr>
            <w:r>
              <w:rPr>
                <w:rFonts w:hint="eastAsia" w:ascii="黑体" w:hAnsi="黑体" w:eastAsia="黑体" w:cs="黑体"/>
                <w:spacing w:val="0"/>
                <w:sz w:val="28"/>
                <w:szCs w:val="28"/>
              </w:rPr>
              <w:t>项目名称</w:t>
            </w:r>
          </w:p>
        </w:tc>
        <w:tc>
          <w:tcPr>
            <w:tcW w:w="130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spacing w:val="0"/>
                <w:sz w:val="28"/>
                <w:szCs w:val="28"/>
              </w:rPr>
            </w:pPr>
            <w:r>
              <w:rPr>
                <w:rFonts w:hint="eastAsia" w:ascii="黑体" w:hAnsi="黑体" w:eastAsia="黑体" w:cs="黑体"/>
                <w:spacing w:val="0"/>
                <w:sz w:val="28"/>
                <w:szCs w:val="28"/>
              </w:rPr>
              <w:t>计价单位</w:t>
            </w: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spacing w:val="0"/>
                <w:sz w:val="28"/>
                <w:szCs w:val="28"/>
              </w:rPr>
            </w:pPr>
            <w:r>
              <w:rPr>
                <w:rFonts w:hint="eastAsia" w:ascii="黑体" w:hAnsi="黑体" w:eastAsia="黑体" w:cs="黑体"/>
                <w:spacing w:val="0"/>
                <w:sz w:val="28"/>
                <w:szCs w:val="28"/>
              </w:rPr>
              <w:t>项目说明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position w:val="-4"/>
                <w:sz w:val="28"/>
                <w:szCs w:val="28"/>
              </w:rPr>
              <w:t>一</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个性化墓位设计费</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二</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墓位改造服务</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1</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墓位整体更换</w:t>
            </w:r>
          </w:p>
        </w:tc>
        <w:tc>
          <w:tcPr>
            <w:tcW w:w="130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套</w:t>
            </w: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在原地对原有墓位整体进行更换。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2</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换碑</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仅指墓碑更换，墓碑上的刻字、瓷像等费用另计。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3</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墓位其他配件更换</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更换墓碑时如涉及配件辅材则费用另计。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4</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扩穴</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firstLine="9"/>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在原位，不扩大面积，增加安葬穴位数量，地面墓位不变。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5</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墓碑镶嵌</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firstLine="9"/>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已完工的墓位因丧属要求在墓碑上镶嵌其他材质(如石料、铜材等)。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6</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竖碑后改刻字服务</w:t>
            </w:r>
          </w:p>
        </w:tc>
        <w:tc>
          <w:tcPr>
            <w:tcW w:w="130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个</w:t>
            </w: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磨字、刻字、描字，字体大小分类由服务单位自行确定。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三</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描碑</w:t>
            </w:r>
          </w:p>
        </w:tc>
        <w:tc>
          <w:tcPr>
            <w:tcW w:w="130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个</w:t>
            </w: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字体按小字、中字、大字、特殊字分类。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四</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瓷像制作费</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1</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黑白照瓷像</w:t>
            </w:r>
          </w:p>
        </w:tc>
        <w:tc>
          <w:tcPr>
            <w:tcW w:w="130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个</w:t>
            </w: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指烧制瓷像，在墓碑上开孔、镶嵌的服务。瓷像的大小由各单位根据实际情况自行确定。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2</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彩色照瓷像</w:t>
            </w:r>
          </w:p>
        </w:tc>
        <w:tc>
          <w:tcPr>
            <w:tcW w:w="130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个</w:t>
            </w: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指烧制瓷像，在墓碑上开孔、镶嵌的服务。瓷像的大小由各单位根据实际情况自行确定。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3</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特殊瓷像制作</w:t>
            </w:r>
          </w:p>
        </w:tc>
        <w:tc>
          <w:tcPr>
            <w:tcW w:w="130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张</w:t>
            </w: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丧户提供逝者生前照片或底片或电脑制作，采用人工、激光雕刻等其他特殊工艺制作，粘贴在墓碑上。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五</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礼仪服务</w:t>
            </w:r>
          </w:p>
        </w:tc>
        <w:tc>
          <w:tcPr>
            <w:tcW w:w="130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次</w:t>
            </w:r>
          </w:p>
        </w:tc>
        <w:tc>
          <w:tcPr>
            <w:tcW w:w="4409"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指礼仪落葬、周年追思、代客祭扫、接灵等丧事礼仪(不含遗体接触类服务)。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六</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迁墓( 坟 )</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1</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骨灰</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default" w:ascii="Times New Roman" w:hAnsi="Times New Roman" w:eastAsia="仿宋_GB2312" w:cs="Times New Roman"/>
                <w:spacing w:val="0"/>
                <w:sz w:val="28"/>
                <w:szCs w:val="28"/>
              </w:rPr>
              <w:t>2</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骸骨</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p>
        </w:tc>
        <w:tc>
          <w:tcPr>
            <w:tcW w:w="440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75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七</w:t>
            </w:r>
          </w:p>
        </w:tc>
        <w:tc>
          <w:tcPr>
            <w:tcW w:w="232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 xml:space="preserve">更换( 补 ) </w:t>
            </w:r>
          </w:p>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公墓证</w:t>
            </w:r>
          </w:p>
        </w:tc>
        <w:tc>
          <w:tcPr>
            <w:tcW w:w="1307"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本</w:t>
            </w:r>
          </w:p>
        </w:tc>
        <w:tc>
          <w:tcPr>
            <w:tcW w:w="440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pacing w:val="0"/>
                <w:sz w:val="28"/>
                <w:szCs w:val="28"/>
              </w:rPr>
            </w:pPr>
          </w:p>
        </w:tc>
      </w:tr>
    </w:tbl>
    <w:p>
      <w:pPr>
        <w:spacing w:line="580" w:lineRule="exact"/>
        <w:textAlignment w:val="bottom"/>
        <w:rPr>
          <w:rFonts w:ascii="仿宋_GB2312" w:hAnsi="宋体" w:eastAsia="仿宋_GB2312"/>
          <w:color w:val="FFFFFF" w:themeColor="background1"/>
          <w:sz w:val="32"/>
          <w:szCs w:val="32"/>
          <w:lang w:bidi="he-IL"/>
          <w14:textFill>
            <w14:solidFill>
              <w14:schemeClr w14:val="bg1"/>
            </w14:solidFill>
          </w14:textFill>
        </w:rPr>
      </w:pPr>
    </w:p>
    <w:sectPr>
      <w:headerReference r:id="rId7" w:type="first"/>
      <w:footerReference r:id="rId10" w:type="first"/>
      <w:headerReference r:id="rId5" w:type="default"/>
      <w:footerReference r:id="rId8" w:type="default"/>
      <w:headerReference r:id="rId6" w:type="even"/>
      <w:footerReference r:id="rId9" w:type="even"/>
      <w:pgSz w:w="11911" w:h="16849"/>
      <w:pgMar w:top="1984" w:right="1502" w:bottom="1928" w:left="1502" w:header="850" w:footer="1417" w:gutter="0"/>
      <w:pgNumType w:fmt="numberInDash"/>
      <w:cols w:space="0" w:num="1"/>
      <w:rtlGutter w:val="0"/>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31"/>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NzNjOTBmZWVhMTM0YWE1MWVmOWYyOTg1NzJjNGIifQ=="/>
    <w:docVar w:name="KSO_WPS_MARK_KEY" w:val="95ce35ba-dda0-4f0e-bb65-f76b69c66291"/>
  </w:docVars>
  <w:rsids>
    <w:rsidRoot w:val="00C47F56"/>
    <w:rsid w:val="000D6780"/>
    <w:rsid w:val="005C77CC"/>
    <w:rsid w:val="00A4746D"/>
    <w:rsid w:val="00B76842"/>
    <w:rsid w:val="00C47F56"/>
    <w:rsid w:val="04035115"/>
    <w:rsid w:val="04C02408"/>
    <w:rsid w:val="093129EE"/>
    <w:rsid w:val="19EC610A"/>
    <w:rsid w:val="1D9352A5"/>
    <w:rsid w:val="23DD4CFD"/>
    <w:rsid w:val="254A68D4"/>
    <w:rsid w:val="26072917"/>
    <w:rsid w:val="352D67CA"/>
    <w:rsid w:val="38121A7D"/>
    <w:rsid w:val="3D1837B0"/>
    <w:rsid w:val="5139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paragraph" w:styleId="3">
    <w:name w:val="footer"/>
    <w:basedOn w:val="1"/>
    <w:link w:val="10"/>
    <w:qFormat/>
    <w:uiPriority w:val="0"/>
    <w:pPr>
      <w:tabs>
        <w:tab w:val="center" w:pos="4153"/>
        <w:tab w:val="right" w:pos="8306"/>
      </w:tabs>
      <w:snapToGrid w:val="0"/>
      <w:jc w:val="left"/>
    </w:pPr>
    <w:rPr>
      <w:rFonts w:asciiTheme="minorHAnsi" w:hAnsiTheme="minorHAnsi" w:cstheme="minorBidi"/>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脚 Char"/>
    <w:link w:val="3"/>
    <w:qFormat/>
    <w:uiPriority w:val="0"/>
    <w:rPr>
      <w:rFonts w:eastAsia="宋体"/>
      <w:sz w:val="18"/>
      <w:szCs w:val="24"/>
    </w:rPr>
  </w:style>
  <w:style w:type="character" w:customStyle="1" w:styleId="9">
    <w:name w:val="页眉 Char"/>
    <w:basedOn w:val="7"/>
    <w:link w:val="4"/>
    <w:qFormat/>
    <w:uiPriority w:val="0"/>
    <w:rPr>
      <w:rFonts w:ascii="Times New Roman" w:hAnsi="Times New Roman" w:eastAsia="宋体" w:cs="Times New Roman"/>
      <w:sz w:val="18"/>
      <w:szCs w:val="18"/>
    </w:rPr>
  </w:style>
  <w:style w:type="character" w:customStyle="1" w:styleId="10">
    <w:name w:val="页脚 Char1"/>
    <w:basedOn w:val="7"/>
    <w:link w:val="3"/>
    <w:semiHidden/>
    <w:qFormat/>
    <w:uiPriority w:val="99"/>
    <w:rPr>
      <w:rFonts w:ascii="Times New Roman" w:hAnsi="Times New Roman" w:eastAsia="宋体" w:cs="Times New Roman"/>
      <w:sz w:val="18"/>
      <w:szCs w:val="18"/>
    </w:rPr>
  </w:style>
  <w:style w:type="paragraph" w:customStyle="1" w:styleId="11">
    <w:name w:val="p0"/>
    <w:basedOn w:val="1"/>
    <w:qFormat/>
    <w:uiPriority w:val="0"/>
    <w:pPr>
      <w:widowControl/>
    </w:pPr>
    <w:rPr>
      <w:kern w:val="0"/>
      <w:szCs w:val="21"/>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1965</Words>
  <Characters>2049</Characters>
  <Lines>8</Lines>
  <Paragraphs>2</Paragraphs>
  <TotalTime>31</TotalTime>
  <ScaleCrop>false</ScaleCrop>
  <LinksUpToDate>false</LinksUpToDate>
  <CharactersWithSpaces>2141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2021-04-12T02:58:00Z</dcterms:created>
  <dc:creator>FGJCHS</dc:creator>
  <cp:lastModifiedBy>CHM</cp:lastModifiedBy>
  <dcterms:modified xsi:type="dcterms:W3CDTF">2025-03-21T01:27:53Z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92D028AA73A04CACA2C5759A48C0675A</vt:lpwstr>
  </property>
</Properties>
</file>