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2CA19">
      <w:pPr>
        <w:widowControl/>
        <w:jc w:val="left"/>
        <w:rPr>
          <w:rFonts w:hint="eastAsia" w:ascii="仿宋" w:hAnsi="仿宋" w:eastAsia="仿宋" w:cs="仿宋"/>
          <w:color w:val="auto"/>
          <w:kern w:val="0"/>
          <w:sz w:val="31"/>
          <w:szCs w:val="31"/>
          <w:lang w:val="en-US" w:eastAsia="zh-CN" w:bidi="ar"/>
        </w:rPr>
      </w:pPr>
    </w:p>
    <w:p w14:paraId="74D17E59">
      <w:pPr>
        <w:widowControl/>
        <w:jc w:val="center"/>
        <w:rPr>
          <w:rFonts w:hint="eastAsia" w:ascii="方正小标宋简体" w:hAnsi="方正小标宋简体" w:eastAsia="方正小标宋简体" w:cs="方正小标宋简体"/>
          <w:b/>
          <w:bCs/>
          <w:color w:val="auto"/>
          <w:kern w:val="0"/>
          <w:sz w:val="40"/>
          <w:szCs w:val="44"/>
          <w:shd w:val="clear" w:color="auto" w:fill="FFFFFF"/>
        </w:rPr>
      </w:pPr>
      <w:r>
        <w:rPr>
          <w:rFonts w:hint="eastAsia" w:ascii="方正小标宋简体" w:hAnsi="方正小标宋简体" w:eastAsia="方正小标宋简体" w:cs="方正小标宋简体"/>
          <w:b/>
          <w:bCs/>
          <w:color w:val="auto"/>
          <w:kern w:val="0"/>
          <w:sz w:val="40"/>
          <w:szCs w:val="44"/>
          <w:shd w:val="clear" w:color="auto" w:fill="FFFFFF"/>
        </w:rPr>
        <w:t>关于进一步支持建筑业做优做强的</w:t>
      </w:r>
    </w:p>
    <w:p w14:paraId="0E78E5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方正小标宋简体" w:hAnsi="方正小标宋简体" w:eastAsia="方正小标宋简体" w:cs="方正小标宋简体"/>
          <w:b/>
          <w:bCs/>
          <w:color w:val="auto"/>
          <w:kern w:val="0"/>
          <w:sz w:val="40"/>
          <w:szCs w:val="44"/>
          <w:shd w:val="clear" w:color="auto" w:fill="FFFFFF"/>
          <w:lang w:eastAsia="zh-CN"/>
        </w:rPr>
      </w:pPr>
      <w:r>
        <w:rPr>
          <w:rFonts w:hint="eastAsia" w:ascii="方正小标宋简体" w:hAnsi="方正小标宋简体" w:eastAsia="方正小标宋简体" w:cs="方正小标宋简体"/>
          <w:b/>
          <w:bCs/>
          <w:color w:val="auto"/>
          <w:kern w:val="0"/>
          <w:sz w:val="40"/>
          <w:szCs w:val="44"/>
          <w:shd w:val="clear" w:color="auto" w:fill="FFFFFF"/>
        </w:rPr>
        <w:t>若干意见</w:t>
      </w:r>
      <w:r>
        <w:rPr>
          <w:rFonts w:hint="eastAsia" w:ascii="方正小标宋简体" w:hAnsi="方正小标宋简体" w:eastAsia="方正小标宋简体" w:cs="方正小标宋简体"/>
          <w:b/>
          <w:bCs/>
          <w:color w:val="auto"/>
          <w:kern w:val="0"/>
          <w:sz w:val="40"/>
          <w:szCs w:val="44"/>
          <w:shd w:val="clear" w:color="auto" w:fill="FFFFFF"/>
          <w:lang w:val="en-US" w:eastAsia="zh-CN" w:bidi="ar-SA"/>
        </w:rPr>
        <w:t>（修订）（征求意见稿）</w:t>
      </w:r>
    </w:p>
    <w:p w14:paraId="77240488">
      <w:pPr>
        <w:widowControl/>
        <w:jc w:val="left"/>
        <w:rPr>
          <w:rFonts w:ascii="仿宋" w:hAnsi="仿宋" w:eastAsia="仿宋" w:cs="仿宋"/>
          <w:color w:val="auto"/>
          <w:kern w:val="0"/>
          <w:sz w:val="31"/>
          <w:szCs w:val="31"/>
          <w:lang w:bidi="ar"/>
        </w:rPr>
      </w:pPr>
    </w:p>
    <w:p w14:paraId="253D0F7D">
      <w:pPr>
        <w:widowControl/>
        <w:jc w:val="left"/>
        <w:rPr>
          <w:color w:val="auto"/>
        </w:rPr>
      </w:pPr>
      <w:r>
        <w:rPr>
          <w:rFonts w:ascii="仿宋" w:hAnsi="仿宋" w:eastAsia="仿宋" w:cs="仿宋"/>
          <w:color w:val="auto"/>
          <w:kern w:val="0"/>
          <w:sz w:val="31"/>
          <w:szCs w:val="31"/>
          <w:lang w:bidi="ar"/>
        </w:rPr>
        <w:t xml:space="preserve">各街道办事处、大陈镇人民政府，区政府直属各单位： </w:t>
      </w:r>
    </w:p>
    <w:p w14:paraId="1279ECEB">
      <w:pPr>
        <w:widowControl/>
        <w:ind w:firstLine="620" w:firstLineChars="200"/>
        <w:jc w:val="left"/>
        <w:rPr>
          <w:rFonts w:ascii="仿宋" w:hAnsi="仿宋" w:eastAsia="仿宋" w:cs="仿宋"/>
          <w:color w:val="auto"/>
          <w:kern w:val="0"/>
          <w:sz w:val="31"/>
          <w:szCs w:val="31"/>
          <w:lang w:bidi="ar"/>
        </w:rPr>
      </w:pPr>
      <w:r>
        <w:rPr>
          <w:rFonts w:hint="eastAsia" w:ascii="仿宋" w:hAnsi="仿宋" w:eastAsia="仿宋" w:cs="仿宋"/>
          <w:color w:val="auto"/>
          <w:kern w:val="0"/>
          <w:sz w:val="31"/>
          <w:szCs w:val="31"/>
          <w:lang w:bidi="ar"/>
        </w:rPr>
        <w:t>为贯彻落实《浙江省人民政府办公厅关于进一步支持建筑业做优做强的若干意见》（浙政办发〔2022〕47号）、《台州市人民政府办公室关于进一步支持建筑业做优做强的实施意见》（台政办发〔2023〕37号）等文件精神，经区政府同意，现提出以下意见。</w:t>
      </w:r>
    </w:p>
    <w:p w14:paraId="7ABB4DCD">
      <w:pPr>
        <w:widowControl/>
        <w:ind w:firstLine="620" w:firstLineChars="200"/>
        <w:jc w:val="left"/>
        <w:rPr>
          <w:rFonts w:hint="eastAsia" w:ascii="仿宋" w:hAnsi="仿宋" w:eastAsia="仿宋" w:cs="仿宋"/>
          <w:color w:val="auto"/>
          <w:kern w:val="0"/>
          <w:sz w:val="31"/>
          <w:szCs w:val="31"/>
          <w:lang w:bidi="ar"/>
        </w:rPr>
      </w:pPr>
      <w:r>
        <w:rPr>
          <w:rFonts w:hint="eastAsia" w:ascii="仿宋" w:hAnsi="仿宋" w:eastAsia="仿宋" w:cs="仿宋"/>
          <w:color w:val="auto"/>
          <w:kern w:val="0"/>
          <w:sz w:val="31"/>
          <w:szCs w:val="31"/>
          <w:lang w:bidi="ar"/>
        </w:rPr>
        <w:t>建筑业是椒江的支柱产业、优势产业、富民产业，是发展新质生产力的重要阵地，向“新”进军、往“高”攀升是时代潮流趋势。坚持把做大做强建筑业摆在重要位置，锚定“建筑强区”的建设目标，重点推进建筑业高质量发展，加快建筑业实现“四个转向”，即从“规模扩张”转向“结构优化”、从“要素驱动”转向“创新驱动”、从“效益优先”转向“绿色优先”、从“基础运营”转向“精细管理”，催生更多新质生产力，提升建筑行业竞争力。</w:t>
      </w:r>
    </w:p>
    <w:p w14:paraId="12075F21">
      <w:pPr>
        <w:widowControl/>
        <w:ind w:firstLine="620" w:firstLineChars="200"/>
        <w:jc w:val="left"/>
        <w:rPr>
          <w:rFonts w:hint="eastAsia" w:ascii="黑体" w:hAnsi="宋体" w:eastAsia="黑体" w:cs="黑体"/>
          <w:color w:val="auto"/>
          <w:kern w:val="0"/>
          <w:sz w:val="31"/>
          <w:szCs w:val="31"/>
          <w:lang w:bidi="ar"/>
        </w:rPr>
      </w:pPr>
      <w:r>
        <w:rPr>
          <w:rFonts w:hint="eastAsia" w:ascii="黑体" w:hAnsi="宋体" w:eastAsia="黑体" w:cs="黑体"/>
          <w:color w:val="auto"/>
          <w:kern w:val="0"/>
          <w:sz w:val="31"/>
          <w:szCs w:val="31"/>
          <w:lang w:bidi="ar"/>
        </w:rPr>
        <w:t>一、推进智能绿色建造</w:t>
      </w:r>
    </w:p>
    <w:p w14:paraId="034C5FA5">
      <w:pPr>
        <w:widowControl/>
        <w:ind w:firstLine="620" w:firstLineChars="200"/>
        <w:jc w:val="left"/>
        <w:rPr>
          <w:rFonts w:hint="eastAsia" w:ascii="仿宋" w:hAnsi="仿宋" w:eastAsia="仿宋" w:cs="仿宋"/>
          <w:color w:val="auto"/>
          <w:kern w:val="0"/>
          <w:sz w:val="31"/>
          <w:szCs w:val="31"/>
          <w:lang w:eastAsia="zh-CN" w:bidi="ar"/>
        </w:rPr>
      </w:pPr>
      <w:r>
        <w:rPr>
          <w:rFonts w:hint="eastAsia" w:ascii="楷体" w:hAnsi="楷体" w:eastAsia="楷体" w:cs="楷体"/>
          <w:color w:val="auto"/>
          <w:kern w:val="0"/>
          <w:sz w:val="31"/>
          <w:szCs w:val="31"/>
          <w:lang w:bidi="ar"/>
        </w:rPr>
        <w:t>（一）大力发展智能建造。</w:t>
      </w:r>
      <w:r>
        <w:rPr>
          <w:rFonts w:hint="eastAsia" w:ascii="仿宋" w:hAnsi="仿宋" w:eastAsia="仿宋" w:cs="仿宋"/>
          <w:color w:val="auto"/>
          <w:kern w:val="0"/>
          <w:sz w:val="31"/>
          <w:szCs w:val="31"/>
          <w:lang w:bidi="ar"/>
        </w:rPr>
        <w:t>加快建筑业与新一代信息技术和先进制造业深度融合，聚合建筑行业全要素，构建数字建筑平台，提供贯穿产业全链条、连接工程全参与方的技术、应用和平台服务体系，支撑和赋能建筑行业数字化转型。推动形成一批智能建造龙头企业，引领并带动广大中小企业向智能建造转型升级，打造建筑业“台州智造”。对获得省级以上智能建造示范企业给于</w:t>
      </w:r>
      <w:r>
        <w:rPr>
          <w:rFonts w:hint="eastAsia" w:ascii="仿宋" w:hAnsi="仿宋" w:eastAsia="仿宋" w:cs="仿宋"/>
          <w:color w:val="auto"/>
          <w:kern w:val="0"/>
          <w:sz w:val="31"/>
          <w:szCs w:val="31"/>
          <w:lang w:val="en-US" w:eastAsia="zh-CN" w:bidi="ar"/>
        </w:rPr>
        <w:t>30</w:t>
      </w:r>
      <w:r>
        <w:rPr>
          <w:rFonts w:hint="eastAsia" w:ascii="仿宋" w:hAnsi="仿宋" w:eastAsia="仿宋" w:cs="仿宋"/>
          <w:color w:val="auto"/>
          <w:kern w:val="0"/>
          <w:sz w:val="31"/>
          <w:szCs w:val="31"/>
          <w:lang w:bidi="ar"/>
        </w:rPr>
        <w:t>万元奖励，省级以上示范项目（限椒江区项目）给于</w:t>
      </w:r>
      <w:r>
        <w:rPr>
          <w:rFonts w:hint="eastAsia" w:ascii="仿宋" w:hAnsi="仿宋" w:eastAsia="仿宋" w:cs="仿宋"/>
          <w:color w:val="auto"/>
          <w:kern w:val="0"/>
          <w:sz w:val="31"/>
          <w:szCs w:val="31"/>
          <w:lang w:val="en-US" w:eastAsia="zh-CN" w:bidi="ar"/>
        </w:rPr>
        <w:t>10</w:t>
      </w:r>
      <w:r>
        <w:rPr>
          <w:rFonts w:hint="eastAsia" w:ascii="仿宋" w:hAnsi="仿宋" w:eastAsia="仿宋" w:cs="仿宋"/>
          <w:color w:val="auto"/>
          <w:kern w:val="0"/>
          <w:sz w:val="31"/>
          <w:szCs w:val="31"/>
          <w:lang w:bidi="ar"/>
        </w:rPr>
        <w:t>万元奖励，对举办部级以上智能建造、绿色施工等新质生产力的观摩示范活动且影响较大的企业给于</w:t>
      </w:r>
      <w:r>
        <w:rPr>
          <w:rFonts w:hint="eastAsia" w:ascii="仿宋" w:hAnsi="仿宋" w:eastAsia="仿宋" w:cs="仿宋"/>
          <w:color w:val="auto"/>
          <w:kern w:val="0"/>
          <w:sz w:val="31"/>
          <w:szCs w:val="31"/>
          <w:lang w:val="en-US" w:eastAsia="zh-CN" w:bidi="ar"/>
        </w:rPr>
        <w:t>10</w:t>
      </w:r>
      <w:r>
        <w:rPr>
          <w:rFonts w:hint="eastAsia" w:ascii="仿宋" w:hAnsi="仿宋" w:eastAsia="仿宋" w:cs="仿宋"/>
          <w:color w:val="auto"/>
          <w:kern w:val="0"/>
          <w:sz w:val="31"/>
          <w:szCs w:val="31"/>
          <w:lang w:bidi="ar"/>
        </w:rPr>
        <w:t>万元奖励。</w:t>
      </w:r>
      <w:r>
        <w:rPr>
          <w:rFonts w:hint="eastAsia" w:ascii="仿宋" w:hAnsi="仿宋" w:eastAsia="仿宋" w:cs="仿宋"/>
          <w:color w:val="auto"/>
          <w:kern w:val="0"/>
          <w:sz w:val="31"/>
          <w:szCs w:val="31"/>
          <w:lang w:eastAsia="zh-CN" w:bidi="ar"/>
        </w:rPr>
        <w:t>（</w:t>
      </w:r>
      <w:r>
        <w:rPr>
          <w:rFonts w:hint="eastAsia" w:ascii="仿宋" w:hAnsi="仿宋" w:eastAsia="仿宋" w:cs="仿宋"/>
          <w:color w:val="auto"/>
          <w:kern w:val="0"/>
          <w:sz w:val="31"/>
          <w:szCs w:val="31"/>
          <w:lang w:val="en-US" w:eastAsia="zh-CN" w:bidi="ar"/>
        </w:rPr>
        <w:t>区住建局、区发改局、区经信局、区财政局、区大数据发展中心</w:t>
      </w:r>
      <w:r>
        <w:rPr>
          <w:rFonts w:hint="eastAsia" w:ascii="仿宋" w:hAnsi="仿宋" w:eastAsia="仿宋" w:cs="仿宋"/>
          <w:color w:val="auto"/>
          <w:kern w:val="0"/>
          <w:sz w:val="31"/>
          <w:szCs w:val="31"/>
          <w:lang w:eastAsia="zh-CN" w:bidi="ar"/>
        </w:rPr>
        <w:t>）</w:t>
      </w:r>
    </w:p>
    <w:p w14:paraId="4E190409">
      <w:pPr>
        <w:widowControl/>
        <w:ind w:firstLine="620" w:firstLineChars="200"/>
        <w:jc w:val="left"/>
        <w:rPr>
          <w:rFonts w:hint="eastAsia" w:ascii="仿宋" w:hAnsi="仿宋" w:eastAsia="仿宋" w:cs="仿宋"/>
          <w:color w:val="auto"/>
          <w:kern w:val="0"/>
          <w:sz w:val="31"/>
          <w:szCs w:val="31"/>
          <w:lang w:bidi="ar"/>
        </w:rPr>
      </w:pPr>
      <w:r>
        <w:rPr>
          <w:rFonts w:hint="eastAsia" w:ascii="楷体" w:hAnsi="楷体" w:eastAsia="楷体" w:cs="楷体"/>
          <w:color w:val="auto"/>
          <w:kern w:val="0"/>
          <w:sz w:val="31"/>
          <w:szCs w:val="31"/>
          <w:lang w:bidi="ar"/>
        </w:rPr>
        <w:t>（二）积极推行绿色建造和新型建筑工业化。</w:t>
      </w:r>
      <w:r>
        <w:rPr>
          <w:rFonts w:hint="eastAsia" w:ascii="仿宋" w:hAnsi="仿宋" w:eastAsia="仿宋" w:cs="仿宋"/>
          <w:color w:val="auto"/>
          <w:kern w:val="0"/>
          <w:sz w:val="31"/>
          <w:szCs w:val="31"/>
          <w:lang w:bidi="ar"/>
        </w:rPr>
        <w:t>一是大力发展绿色建筑、超低(近零)能耗建筑。积极推进绿色设计、绿色生产、绿色施工和一体化装修等，实行工程建设项目全生命周期内的绿色建造，有效降低建造全过程的资源消耗和环境污染，进一步减少碳排放，逐步提升建筑建造绿色低碳水平。二是大力发展装配式建筑，推动建立以标准部品为基础的专业化、规模化、信息化生产体系。推广应用钢结构构件智能制造生产线和预制混凝土构件智能生产线。三是积极推进钢结构装配式建筑。全区公建项目应优先采用钢结构装配式建筑。积极开展住宅项目钢结构装配式建筑试点工作，钢结构装配式建筑可优先推选市建筑工业化示范项目，择优推荐参评省级和国家级建筑工业化示范项目。四是推进装配式装修部品基地建设，开展装配化装修试点工作，推广整体厨卫、装修部品和设备管线集成化等技术应用，推动装配式建筑和装配式装修深度融合。五是建筑工业化基地获国家级、省级示范基地荣誉的分别奖励300万元、200万元，其中钢结构工业化基地奖励分别增加100万元、50万元。</w:t>
      </w:r>
      <w:r>
        <w:rPr>
          <w:rFonts w:hint="eastAsia" w:ascii="仿宋" w:hAnsi="仿宋" w:eastAsia="仿宋" w:cs="仿宋"/>
          <w:color w:val="auto"/>
          <w:kern w:val="0"/>
          <w:sz w:val="31"/>
          <w:szCs w:val="31"/>
          <w:lang w:eastAsia="zh-CN" w:bidi="ar"/>
        </w:rPr>
        <w:t>（</w:t>
      </w:r>
      <w:r>
        <w:rPr>
          <w:rFonts w:hint="eastAsia" w:ascii="仿宋" w:hAnsi="仿宋" w:eastAsia="仿宋" w:cs="仿宋"/>
          <w:color w:val="auto"/>
          <w:kern w:val="0"/>
          <w:sz w:val="31"/>
          <w:szCs w:val="31"/>
          <w:lang w:val="en-US" w:eastAsia="zh-CN" w:bidi="ar"/>
        </w:rPr>
        <w:t>区住建局、区发改局、区经信局、区财政局、区资规分局</w:t>
      </w:r>
      <w:r>
        <w:rPr>
          <w:rFonts w:hint="eastAsia" w:ascii="仿宋" w:hAnsi="仿宋" w:eastAsia="仿宋" w:cs="仿宋"/>
          <w:color w:val="auto"/>
          <w:kern w:val="0"/>
          <w:sz w:val="31"/>
          <w:szCs w:val="31"/>
          <w:lang w:eastAsia="zh-CN" w:bidi="ar"/>
        </w:rPr>
        <w:t>）</w:t>
      </w:r>
      <w:r>
        <w:rPr>
          <w:rFonts w:hint="eastAsia" w:ascii="仿宋" w:hAnsi="仿宋" w:eastAsia="仿宋" w:cs="仿宋"/>
          <w:color w:val="auto"/>
          <w:kern w:val="0"/>
          <w:sz w:val="31"/>
          <w:szCs w:val="31"/>
          <w:lang w:bidi="ar"/>
        </w:rPr>
        <w:t xml:space="preserve"> </w:t>
      </w:r>
    </w:p>
    <w:p w14:paraId="73410FF9">
      <w:pPr>
        <w:widowControl/>
        <w:ind w:firstLine="620" w:firstLineChars="200"/>
        <w:jc w:val="left"/>
        <w:rPr>
          <w:rFonts w:hint="eastAsia" w:ascii="仿宋" w:hAnsi="仿宋" w:eastAsia="仿宋" w:cs="仿宋"/>
          <w:color w:val="auto"/>
          <w:kern w:val="0"/>
          <w:sz w:val="31"/>
          <w:szCs w:val="31"/>
          <w:lang w:bidi="ar"/>
        </w:rPr>
      </w:pPr>
      <w:r>
        <w:rPr>
          <w:rFonts w:hint="eastAsia" w:ascii="仿宋" w:hAnsi="仿宋" w:eastAsia="仿宋" w:cs="仿宋"/>
          <w:color w:val="auto"/>
          <w:kern w:val="0"/>
          <w:sz w:val="31"/>
          <w:szCs w:val="31"/>
          <w:lang w:bidi="ar"/>
        </w:rPr>
        <w:t>钢结构装配式建筑和高装配率(达到AA级或AAA级装配 式建筑标准)的公共建筑优先采用工程总承包方式。政府投资新建公共建筑优先采用钢结构装配式建筑和高装配率装配式建筑。全区新出让住宅项目应推广全装修。大力推广楼地面保温和外墙自保温新技术应用。</w:t>
      </w:r>
    </w:p>
    <w:p w14:paraId="42F86E5F">
      <w:pPr>
        <w:widowControl/>
        <w:ind w:firstLine="620" w:firstLineChars="200"/>
        <w:jc w:val="left"/>
        <w:rPr>
          <w:rFonts w:hint="eastAsia" w:ascii="仿宋" w:hAnsi="仿宋" w:eastAsia="仿宋" w:cs="仿宋"/>
          <w:color w:val="auto"/>
          <w:kern w:val="0"/>
          <w:sz w:val="31"/>
          <w:szCs w:val="31"/>
          <w:lang w:bidi="ar"/>
        </w:rPr>
      </w:pPr>
      <w:r>
        <w:rPr>
          <w:rFonts w:hint="eastAsia" w:ascii="仿宋" w:hAnsi="仿宋" w:eastAsia="仿宋" w:cs="仿宋"/>
          <w:color w:val="auto"/>
          <w:kern w:val="0"/>
          <w:sz w:val="31"/>
          <w:szCs w:val="31"/>
          <w:lang w:bidi="ar"/>
        </w:rPr>
        <w:t>对采用钢结构装配式或超低(近零)能耗或装配化装修的商品房项目可进行容积率奖励。采用钢结构装配式的商品房项目，不超过规划地上钢结构装配式建筑面积的4%可不计入成交地块的容积率核算；采用装配化装修的商品房项目，不超过规划地上采用装配化装修建筑面积的1%可不计入成交地块的容积率核算；采用超低(近零)能耗的商品房项目，不超过建设超低(近零)能耗的地上建筑面积的4%可不计入成交地块的容积率核算。对高装配率的商品房项目可进行容积率奖励，按《装配式建筑评价标准》等相关要求评价，达到A级、AA级、AAA级装配式建筑标准的，分别不超过规划各单体计容建筑面积的2%、3%、4%可不计入成交地块的容积率核算。规划各单体不计入容积率核算的建筑面积不得超过其计容建筑面积的5%。以上具体奖励方式</w:t>
      </w:r>
      <w:r>
        <w:rPr>
          <w:rFonts w:hint="eastAsia" w:ascii="仿宋" w:hAnsi="仿宋" w:eastAsia="仿宋" w:cs="仿宋"/>
          <w:color w:val="auto"/>
          <w:kern w:val="0"/>
          <w:sz w:val="31"/>
          <w:szCs w:val="31"/>
          <w:lang w:val="en-US" w:eastAsia="zh-CN" w:bidi="ar"/>
        </w:rPr>
        <w:t>另行</w:t>
      </w:r>
      <w:r>
        <w:rPr>
          <w:rFonts w:hint="eastAsia" w:ascii="仿宋" w:hAnsi="仿宋" w:eastAsia="仿宋" w:cs="仿宋"/>
          <w:color w:val="auto"/>
          <w:kern w:val="0"/>
          <w:sz w:val="31"/>
          <w:szCs w:val="31"/>
          <w:lang w:bidi="ar"/>
        </w:rPr>
        <w:t>制定。</w:t>
      </w:r>
      <w:r>
        <w:rPr>
          <w:rFonts w:hint="eastAsia" w:ascii="仿宋" w:hAnsi="仿宋" w:eastAsia="仿宋" w:cs="仿宋"/>
          <w:color w:val="auto"/>
          <w:kern w:val="0"/>
          <w:sz w:val="31"/>
          <w:szCs w:val="31"/>
          <w:lang w:eastAsia="zh-CN" w:bidi="ar"/>
        </w:rPr>
        <w:t>（</w:t>
      </w:r>
      <w:r>
        <w:rPr>
          <w:rFonts w:hint="eastAsia" w:ascii="仿宋" w:hAnsi="仿宋" w:eastAsia="仿宋" w:cs="仿宋"/>
          <w:color w:val="auto"/>
          <w:kern w:val="0"/>
          <w:sz w:val="31"/>
          <w:szCs w:val="31"/>
          <w:lang w:val="en-US" w:eastAsia="zh-CN" w:bidi="ar"/>
        </w:rPr>
        <w:t>区住建局、区发改局、区资规分局</w:t>
      </w:r>
      <w:r>
        <w:rPr>
          <w:rFonts w:hint="eastAsia" w:ascii="仿宋" w:hAnsi="仿宋" w:eastAsia="仿宋" w:cs="仿宋"/>
          <w:color w:val="auto"/>
          <w:kern w:val="0"/>
          <w:sz w:val="31"/>
          <w:szCs w:val="31"/>
          <w:lang w:eastAsia="zh-CN" w:bidi="ar"/>
        </w:rPr>
        <w:t>）</w:t>
      </w:r>
      <w:r>
        <w:rPr>
          <w:rFonts w:hint="eastAsia" w:ascii="仿宋" w:hAnsi="仿宋" w:eastAsia="仿宋" w:cs="仿宋"/>
          <w:color w:val="auto"/>
          <w:kern w:val="0"/>
          <w:sz w:val="31"/>
          <w:szCs w:val="31"/>
          <w:lang w:bidi="ar"/>
        </w:rPr>
        <w:t xml:space="preserve"> </w:t>
      </w:r>
    </w:p>
    <w:p w14:paraId="789FA432">
      <w:pPr>
        <w:widowControl/>
        <w:ind w:firstLine="620" w:firstLineChars="200"/>
        <w:jc w:val="left"/>
        <w:rPr>
          <w:rFonts w:ascii="仿宋" w:hAnsi="仿宋" w:eastAsia="仿宋" w:cs="仿宋"/>
          <w:color w:val="auto"/>
          <w:kern w:val="0"/>
          <w:sz w:val="31"/>
          <w:szCs w:val="31"/>
          <w:lang w:bidi="ar"/>
        </w:rPr>
      </w:pPr>
      <w:r>
        <w:rPr>
          <w:rFonts w:hint="eastAsia" w:ascii="楷体" w:hAnsi="楷体" w:eastAsia="楷体" w:cs="楷体"/>
          <w:color w:val="auto"/>
          <w:kern w:val="0"/>
          <w:sz w:val="31"/>
          <w:szCs w:val="31"/>
          <w:lang w:bidi="ar"/>
        </w:rPr>
        <w:t>（三）大力推广绿色建材。</w:t>
      </w:r>
      <w:r>
        <w:rPr>
          <w:rFonts w:hint="eastAsia" w:ascii="仿宋" w:hAnsi="仿宋" w:eastAsia="仿宋" w:cs="仿宋"/>
          <w:color w:val="auto"/>
          <w:kern w:val="0"/>
          <w:sz w:val="31"/>
          <w:szCs w:val="31"/>
          <w:lang w:bidi="ar"/>
        </w:rPr>
        <w:t>一是落实政府采购政策要求。纳入政策实施范围的政府采购工程严格执行《绿色建筑和绿色建材政府采购需求标准》,在项目立项、招标采购、施工、验收等阶段落实需求标准。二是加强绿色建材采购管理。纳入政策实施范围的政府采购工程涉及使用《绿色建筑和绿色建材政府采购需求标准》中绿色建材的，应当全部采购和使用符合</w:t>
      </w:r>
      <w:r>
        <w:rPr>
          <w:rFonts w:hint="eastAsia" w:ascii="仿宋" w:hAnsi="仿宋" w:eastAsia="仿宋" w:cs="仿宋"/>
          <w:color w:val="auto"/>
          <w:kern w:val="0"/>
          <w:sz w:val="31"/>
          <w:szCs w:val="31"/>
          <w:lang w:val="en-US" w:eastAsia="zh-CN" w:bidi="ar"/>
        </w:rPr>
        <w:t>产业政策要求和</w:t>
      </w:r>
      <w:r>
        <w:rPr>
          <w:rFonts w:hint="eastAsia" w:ascii="仿宋" w:hAnsi="仿宋" w:eastAsia="仿宋" w:cs="仿宋"/>
          <w:color w:val="auto"/>
          <w:kern w:val="0"/>
          <w:sz w:val="31"/>
          <w:szCs w:val="31"/>
          <w:lang w:bidi="ar"/>
        </w:rPr>
        <w:t>相关标准的建材</w:t>
      </w:r>
      <w:r>
        <w:rPr>
          <w:rFonts w:hint="eastAsia" w:ascii="仿宋" w:hAnsi="仿宋" w:eastAsia="仿宋" w:cs="仿宋"/>
          <w:color w:val="auto"/>
          <w:kern w:val="0"/>
          <w:sz w:val="31"/>
          <w:szCs w:val="31"/>
          <w:lang w:val="en-US" w:eastAsia="zh-CN" w:bidi="ar"/>
        </w:rPr>
        <w:t>产品</w:t>
      </w:r>
      <w:r>
        <w:rPr>
          <w:rFonts w:hint="eastAsia" w:ascii="仿宋" w:hAnsi="仿宋" w:eastAsia="仿宋" w:cs="仿宋"/>
          <w:color w:val="auto"/>
          <w:kern w:val="0"/>
          <w:sz w:val="31"/>
          <w:szCs w:val="31"/>
          <w:lang w:bidi="ar"/>
        </w:rPr>
        <w:t>。三是加强工程项目监管，培育绿色建材应用示范工程和高品质绿色建筑项目。四是因地制宜发展绿色建材产业，培育绿色建材骨干企业和重点产品。优先推广使用台州制造“好产品”。</w:t>
      </w:r>
      <w:r>
        <w:rPr>
          <w:rFonts w:hint="eastAsia" w:ascii="仿宋" w:hAnsi="仿宋" w:eastAsia="仿宋" w:cs="仿宋"/>
          <w:color w:val="auto"/>
          <w:kern w:val="0"/>
          <w:sz w:val="31"/>
          <w:szCs w:val="31"/>
          <w:lang w:eastAsia="zh-CN" w:bidi="ar"/>
        </w:rPr>
        <w:t>（</w:t>
      </w:r>
      <w:r>
        <w:rPr>
          <w:rFonts w:hint="eastAsia" w:ascii="仿宋" w:hAnsi="仿宋" w:eastAsia="仿宋" w:cs="仿宋"/>
          <w:color w:val="auto"/>
          <w:kern w:val="0"/>
          <w:sz w:val="31"/>
          <w:szCs w:val="31"/>
          <w:lang w:val="en-US" w:eastAsia="zh-CN" w:bidi="ar"/>
        </w:rPr>
        <w:t>区住建局、区经信局、区财政局</w:t>
      </w:r>
      <w:r>
        <w:rPr>
          <w:rFonts w:hint="eastAsia" w:ascii="仿宋" w:hAnsi="仿宋" w:eastAsia="仿宋" w:cs="仿宋"/>
          <w:color w:val="auto"/>
          <w:kern w:val="0"/>
          <w:sz w:val="31"/>
          <w:szCs w:val="31"/>
          <w:lang w:eastAsia="zh-CN" w:bidi="ar"/>
        </w:rPr>
        <w:t>）</w:t>
      </w:r>
      <w:r>
        <w:rPr>
          <w:rFonts w:hint="eastAsia" w:ascii="仿宋" w:hAnsi="仿宋" w:eastAsia="仿宋" w:cs="仿宋"/>
          <w:color w:val="auto"/>
          <w:kern w:val="0"/>
          <w:sz w:val="31"/>
          <w:szCs w:val="31"/>
          <w:lang w:bidi="ar"/>
        </w:rPr>
        <w:t xml:space="preserve"> </w:t>
      </w:r>
    </w:p>
    <w:p w14:paraId="56FD2DA4">
      <w:pPr>
        <w:widowControl/>
        <w:ind w:firstLine="620" w:firstLineChars="200"/>
        <w:jc w:val="left"/>
        <w:rPr>
          <w:color w:val="auto"/>
        </w:rPr>
      </w:pPr>
      <w:r>
        <w:rPr>
          <w:rFonts w:hint="eastAsia" w:ascii="黑体" w:hAnsi="宋体" w:eastAsia="黑体" w:cs="黑体"/>
          <w:color w:val="auto"/>
          <w:kern w:val="0"/>
          <w:sz w:val="31"/>
          <w:szCs w:val="31"/>
          <w:lang w:bidi="ar"/>
        </w:rPr>
        <w:t>二</w:t>
      </w:r>
      <w:r>
        <w:rPr>
          <w:rFonts w:ascii="黑体" w:hAnsi="宋体" w:eastAsia="黑体" w:cs="黑体"/>
          <w:color w:val="auto"/>
          <w:kern w:val="0"/>
          <w:sz w:val="31"/>
          <w:szCs w:val="31"/>
          <w:lang w:bidi="ar"/>
        </w:rPr>
        <w:t xml:space="preserve">、鼓励企业做大做强 </w:t>
      </w:r>
    </w:p>
    <w:p w14:paraId="5E836EEA">
      <w:pPr>
        <w:keepNext w:val="0"/>
        <w:keepLines w:val="0"/>
        <w:pageBreakBefore w:val="0"/>
        <w:kinsoku/>
        <w:wordWrap/>
        <w:overflowPunct/>
        <w:topLinePunct w:val="0"/>
        <w:autoSpaceDE/>
        <w:autoSpaceDN/>
        <w:bidi w:val="0"/>
        <w:adjustRightInd/>
        <w:spacing w:line="579" w:lineRule="exact"/>
        <w:ind w:firstLine="620" w:firstLineChars="200"/>
        <w:textAlignment w:val="auto"/>
        <w:rPr>
          <w:rFonts w:hint="eastAsia" w:ascii="仿宋" w:hAnsi="仿宋" w:eastAsia="仿宋" w:cs="仿宋"/>
          <w:color w:val="auto"/>
          <w:kern w:val="0"/>
          <w:sz w:val="31"/>
          <w:szCs w:val="31"/>
          <w:lang w:eastAsia="zh-CN" w:bidi="ar"/>
        </w:rPr>
      </w:pPr>
      <w:r>
        <w:rPr>
          <w:rFonts w:ascii="楷体" w:hAnsi="楷体" w:eastAsia="楷体" w:cs="楷体"/>
          <w:color w:val="auto"/>
          <w:kern w:val="0"/>
          <w:sz w:val="31"/>
          <w:szCs w:val="31"/>
          <w:lang w:bidi="ar"/>
        </w:rPr>
        <w:t>（</w:t>
      </w:r>
      <w:r>
        <w:rPr>
          <w:rFonts w:hint="eastAsia" w:ascii="楷体" w:hAnsi="楷体" w:eastAsia="楷体" w:cs="楷体"/>
          <w:color w:val="auto"/>
          <w:kern w:val="0"/>
          <w:sz w:val="31"/>
          <w:szCs w:val="31"/>
          <w:lang w:bidi="ar"/>
        </w:rPr>
        <w:t>四</w:t>
      </w:r>
      <w:r>
        <w:rPr>
          <w:rFonts w:ascii="楷体" w:hAnsi="楷体" w:eastAsia="楷体" w:cs="楷体"/>
          <w:color w:val="auto"/>
          <w:kern w:val="0"/>
          <w:sz w:val="31"/>
          <w:szCs w:val="31"/>
          <w:lang w:bidi="ar"/>
        </w:rPr>
        <w:t>）促进</w:t>
      </w:r>
      <w:r>
        <w:rPr>
          <w:rFonts w:hint="eastAsia" w:ascii="楷体" w:hAnsi="楷体" w:eastAsia="楷体" w:cs="楷体"/>
          <w:color w:val="auto"/>
          <w:kern w:val="0"/>
          <w:sz w:val="31"/>
          <w:szCs w:val="31"/>
          <w:lang w:bidi="ar"/>
        </w:rPr>
        <w:t>企业转型发展。</w:t>
      </w:r>
      <w:r>
        <w:rPr>
          <w:rFonts w:hint="eastAsia" w:ascii="仿宋" w:hAnsi="仿宋" w:eastAsia="仿宋" w:cs="仿宋"/>
          <w:color w:val="auto"/>
          <w:kern w:val="0"/>
          <w:sz w:val="31"/>
          <w:szCs w:val="31"/>
          <w:lang w:bidi="ar"/>
        </w:rPr>
        <w:t>鼓励建筑业企业加快上市步伐。稳步推进工程总承包，适宜采用工程总承包的政府投资项目、国有资金控股或占主导地位的项目应推行工程总承包方式，鼓励社会投资项目推行工程总承包。支持我区施工总承包特级企业、建筑业示范企业参与大型基础设施领域建设，鼓励综合实力强、信用良好的施工总承包企业通过独立或联合体方式参与招标大型基础设施项目。支持企业做长做全产业链条，在做精主业的基础上，向建筑工业化、新型建材生产和其它三产行业渗透，培育一批设计、制造、施工、运营一体化企业，形成“主业精、副业兴、整体强”的多元化经营格局。在大型工程和施工难度较大工程项目投标时，可设置“接受联合体投标”条款内容和通过EPC+评定分离等合规方式，鼓励</w:t>
      </w:r>
      <w:r>
        <w:rPr>
          <w:rFonts w:hint="eastAsia" w:ascii="仿宋" w:hAnsi="仿宋" w:eastAsia="仿宋" w:cs="仿宋"/>
          <w:color w:val="auto"/>
          <w:kern w:val="0"/>
          <w:sz w:val="31"/>
          <w:szCs w:val="31"/>
          <w:lang w:val="en-US" w:eastAsia="zh-CN" w:bidi="ar"/>
        </w:rPr>
        <w:t>优质</w:t>
      </w:r>
      <w:r>
        <w:rPr>
          <w:rFonts w:hint="eastAsia" w:ascii="仿宋" w:hAnsi="仿宋" w:eastAsia="仿宋" w:cs="仿宋"/>
          <w:color w:val="auto"/>
          <w:kern w:val="0"/>
          <w:sz w:val="31"/>
          <w:szCs w:val="31"/>
          <w:lang w:bidi="ar"/>
        </w:rPr>
        <w:t>建筑业企业参与承建项目。</w:t>
      </w:r>
      <w:r>
        <w:rPr>
          <w:rFonts w:hint="eastAsia" w:ascii="仿宋" w:hAnsi="仿宋" w:eastAsia="仿宋" w:cs="仿宋"/>
          <w:color w:val="auto"/>
          <w:kern w:val="0"/>
          <w:sz w:val="31"/>
          <w:szCs w:val="31"/>
          <w:lang w:eastAsia="zh-CN" w:bidi="ar"/>
        </w:rPr>
        <w:t>（</w:t>
      </w:r>
      <w:r>
        <w:rPr>
          <w:rFonts w:hint="eastAsia" w:ascii="仿宋" w:hAnsi="仿宋" w:eastAsia="仿宋" w:cs="仿宋"/>
          <w:color w:val="auto"/>
          <w:kern w:val="0"/>
          <w:sz w:val="31"/>
          <w:szCs w:val="31"/>
          <w:lang w:val="en-US" w:eastAsia="zh-CN" w:bidi="ar"/>
        </w:rPr>
        <w:t>区住建局、区发改局、区交通运输局、区农水局、各平台公司</w:t>
      </w:r>
      <w:r>
        <w:rPr>
          <w:rFonts w:hint="eastAsia" w:ascii="仿宋" w:hAnsi="仿宋" w:eastAsia="仿宋" w:cs="仿宋"/>
          <w:color w:val="auto"/>
          <w:kern w:val="0"/>
          <w:sz w:val="31"/>
          <w:szCs w:val="31"/>
          <w:lang w:eastAsia="zh-CN" w:bidi="ar"/>
        </w:rPr>
        <w:t>）</w:t>
      </w:r>
    </w:p>
    <w:p w14:paraId="3FDC14BC">
      <w:pPr>
        <w:widowControl/>
        <w:ind w:firstLine="620" w:firstLineChars="200"/>
        <w:jc w:val="left"/>
        <w:rPr>
          <w:color w:val="auto"/>
        </w:rPr>
      </w:pPr>
      <w:r>
        <w:rPr>
          <w:rFonts w:ascii="楷体" w:hAnsi="楷体" w:eastAsia="楷体" w:cs="楷体"/>
          <w:color w:val="auto"/>
          <w:kern w:val="0"/>
          <w:sz w:val="31"/>
          <w:szCs w:val="31"/>
          <w:lang w:bidi="ar"/>
        </w:rPr>
        <w:t>（</w:t>
      </w:r>
      <w:r>
        <w:rPr>
          <w:rFonts w:hint="eastAsia" w:ascii="楷体" w:hAnsi="楷体" w:eastAsia="楷体" w:cs="楷体"/>
          <w:color w:val="auto"/>
          <w:kern w:val="0"/>
          <w:sz w:val="31"/>
          <w:szCs w:val="31"/>
          <w:lang w:bidi="ar"/>
        </w:rPr>
        <w:t>五</w:t>
      </w:r>
      <w:r>
        <w:rPr>
          <w:rFonts w:ascii="楷体" w:hAnsi="楷体" w:eastAsia="楷体" w:cs="楷体"/>
          <w:color w:val="auto"/>
          <w:kern w:val="0"/>
          <w:sz w:val="31"/>
          <w:szCs w:val="31"/>
          <w:lang w:bidi="ar"/>
        </w:rPr>
        <w:t>）鼓励企业资质晋升。</w:t>
      </w:r>
      <w:r>
        <w:rPr>
          <w:rFonts w:hint="eastAsia" w:ascii="仿宋" w:hAnsi="仿宋" w:eastAsia="仿宋" w:cs="仿宋"/>
          <w:color w:val="auto"/>
          <w:kern w:val="0"/>
          <w:sz w:val="31"/>
          <w:szCs w:val="31"/>
          <w:lang w:bidi="ar"/>
        </w:rPr>
        <w:t>建筑企业首次晋升为施工总承包特级（综合）资质、总承包一级（甲级）资质、专业承包一级（甲级）综合资质分别奖励 100 万元、50 万元、20 万元。根据住房和城乡建设部资质改革换证获得的资质不予奖励。</w:t>
      </w:r>
      <w:r>
        <w:rPr>
          <w:rFonts w:hint="eastAsia" w:ascii="仿宋" w:hAnsi="仿宋" w:eastAsia="仿宋" w:cs="仿宋"/>
          <w:color w:val="auto"/>
          <w:kern w:val="0"/>
          <w:sz w:val="31"/>
          <w:szCs w:val="31"/>
          <w:lang w:eastAsia="zh-CN" w:bidi="ar"/>
        </w:rPr>
        <w:t>（</w:t>
      </w:r>
      <w:r>
        <w:rPr>
          <w:rFonts w:hint="eastAsia" w:ascii="仿宋" w:hAnsi="仿宋" w:eastAsia="仿宋" w:cs="仿宋"/>
          <w:color w:val="auto"/>
          <w:kern w:val="0"/>
          <w:sz w:val="31"/>
          <w:szCs w:val="31"/>
          <w:lang w:val="en-US" w:eastAsia="zh-CN" w:bidi="ar"/>
        </w:rPr>
        <w:t>区住建局、区财政局</w:t>
      </w:r>
      <w:r>
        <w:rPr>
          <w:rFonts w:hint="eastAsia" w:ascii="仿宋" w:hAnsi="仿宋" w:eastAsia="仿宋" w:cs="仿宋"/>
          <w:color w:val="auto"/>
          <w:kern w:val="0"/>
          <w:sz w:val="31"/>
          <w:szCs w:val="31"/>
          <w:lang w:eastAsia="zh-CN" w:bidi="ar"/>
        </w:rPr>
        <w:t>）</w:t>
      </w:r>
      <w:r>
        <w:rPr>
          <w:rFonts w:hint="eastAsia" w:ascii="仿宋" w:hAnsi="仿宋" w:eastAsia="仿宋" w:cs="仿宋"/>
          <w:color w:val="auto"/>
          <w:kern w:val="0"/>
          <w:sz w:val="31"/>
          <w:szCs w:val="31"/>
          <w:lang w:bidi="ar"/>
        </w:rPr>
        <w:t xml:space="preserve"> </w:t>
      </w:r>
    </w:p>
    <w:p w14:paraId="55B350DC">
      <w:pPr>
        <w:widowControl/>
        <w:ind w:firstLine="620" w:firstLineChars="200"/>
        <w:jc w:val="left"/>
        <w:rPr>
          <w:color w:val="auto"/>
        </w:rPr>
      </w:pPr>
      <w:r>
        <w:rPr>
          <w:rFonts w:hint="eastAsia" w:ascii="楷体" w:hAnsi="楷体" w:eastAsia="楷体" w:cs="楷体"/>
          <w:color w:val="auto"/>
          <w:kern w:val="0"/>
          <w:sz w:val="31"/>
          <w:szCs w:val="31"/>
          <w:lang w:bidi="ar"/>
        </w:rPr>
        <w:t>（六）加快总部经济发展，鼓励拓展区外市场。</w:t>
      </w:r>
      <w:r>
        <w:rPr>
          <w:rFonts w:hint="eastAsia" w:ascii="仿宋" w:hAnsi="仿宋" w:eastAsia="仿宋" w:cs="仿宋"/>
          <w:color w:val="auto"/>
          <w:kern w:val="0"/>
          <w:sz w:val="31"/>
          <w:szCs w:val="31"/>
          <w:lang w:bidi="ar"/>
        </w:rPr>
        <w:t>积极参与浙江省“联盟拓市”活动，支持建筑业企业广泛开展合作、共同承揽区外项目，在巩固现有市场前提下，继续深耕长三角、珠三角、中部地区等市场。加快培育外向型建筑业企业，支持具有一级以上资质的施工总承包企业和综合实力强的钢结构、建筑幕墙、装饰装修、古建筑等专业承包企业积极开拓国际工程市场。建筑施工企业在区外（限浙江省内）承揽业务合同额（以施工许可办理为准）在2亿元以上的奖励5万元，3亿元以上的奖励10万元，5亿元以上奖励20万元，10亿元以上奖励30万元。招引优质企业</w:t>
      </w:r>
      <w:r>
        <w:rPr>
          <w:rFonts w:hint="eastAsia" w:ascii="仿宋" w:hAnsi="仿宋" w:eastAsia="仿宋" w:cs="仿宋"/>
          <w:color w:val="auto"/>
          <w:kern w:val="0"/>
          <w:sz w:val="31"/>
          <w:szCs w:val="31"/>
          <w:lang w:eastAsia="zh-CN" w:bidi="ar"/>
        </w:rPr>
        <w:t>，</w:t>
      </w:r>
      <w:r>
        <w:rPr>
          <w:rFonts w:hint="eastAsia" w:ascii="仿宋" w:hAnsi="仿宋" w:eastAsia="仿宋" w:cs="仿宋"/>
          <w:color w:val="auto"/>
          <w:kern w:val="0"/>
          <w:sz w:val="31"/>
          <w:szCs w:val="31"/>
          <w:lang w:bidi="ar"/>
        </w:rPr>
        <w:t>对新迁入施工企业总承包特级（综合甲级）资质企业和一级（甲级）资质企业（含大型工程承包企业在椒江设立独立核算的子公司），当年产值总承包特级（综合甲级）5亿元以上、一级（甲级）2亿元以上的分别奖励500万元和200万元，并享受相关招商政策。房地产投资以我区建筑企业作为总承包的项目，在预售资金监管上，可以将在途资金（按揭款）按一定比例认同为入库的监管资金，详细实施办法由区住建局另行制定。</w:t>
      </w:r>
      <w:r>
        <w:rPr>
          <w:rFonts w:hint="eastAsia" w:ascii="仿宋" w:hAnsi="仿宋" w:eastAsia="仿宋" w:cs="仿宋"/>
          <w:color w:val="auto"/>
          <w:kern w:val="0"/>
          <w:sz w:val="31"/>
          <w:szCs w:val="31"/>
          <w:lang w:eastAsia="zh-CN" w:bidi="ar"/>
        </w:rPr>
        <w:t>（</w:t>
      </w:r>
      <w:r>
        <w:rPr>
          <w:rFonts w:hint="eastAsia" w:ascii="仿宋" w:hAnsi="仿宋" w:eastAsia="仿宋" w:cs="仿宋"/>
          <w:color w:val="auto"/>
          <w:kern w:val="0"/>
          <w:sz w:val="31"/>
          <w:szCs w:val="31"/>
          <w:lang w:val="en-US" w:eastAsia="zh-CN" w:bidi="ar"/>
        </w:rPr>
        <w:t>区住建局、区财政局</w:t>
      </w:r>
      <w:r>
        <w:rPr>
          <w:rFonts w:hint="eastAsia" w:ascii="仿宋" w:hAnsi="仿宋" w:eastAsia="仿宋" w:cs="仿宋"/>
          <w:color w:val="auto"/>
          <w:kern w:val="0"/>
          <w:sz w:val="31"/>
          <w:szCs w:val="31"/>
          <w:lang w:eastAsia="zh-CN" w:bidi="ar"/>
        </w:rPr>
        <w:t>）</w:t>
      </w:r>
      <w:r>
        <w:rPr>
          <w:rFonts w:hint="eastAsia" w:ascii="仿宋" w:hAnsi="仿宋" w:eastAsia="仿宋" w:cs="仿宋"/>
          <w:color w:val="auto"/>
          <w:kern w:val="0"/>
          <w:sz w:val="31"/>
          <w:szCs w:val="31"/>
          <w:lang w:bidi="ar"/>
        </w:rPr>
        <w:t xml:space="preserve"> </w:t>
      </w:r>
    </w:p>
    <w:p w14:paraId="34D68DC1">
      <w:pPr>
        <w:widowControl/>
        <w:ind w:firstLine="620" w:firstLineChars="200"/>
        <w:jc w:val="left"/>
        <w:rPr>
          <w:color w:val="auto"/>
        </w:rPr>
      </w:pPr>
      <w:r>
        <w:rPr>
          <w:rFonts w:hint="eastAsia" w:ascii="黑体" w:hAnsi="宋体" w:eastAsia="黑体" w:cs="黑体"/>
          <w:color w:val="auto"/>
          <w:kern w:val="0"/>
          <w:sz w:val="31"/>
          <w:szCs w:val="31"/>
          <w:lang w:bidi="ar"/>
        </w:rPr>
        <w:t>三</w:t>
      </w:r>
      <w:r>
        <w:rPr>
          <w:rFonts w:ascii="黑体" w:hAnsi="宋体" w:eastAsia="黑体" w:cs="黑体"/>
          <w:color w:val="auto"/>
          <w:kern w:val="0"/>
          <w:sz w:val="31"/>
          <w:szCs w:val="31"/>
          <w:lang w:bidi="ar"/>
        </w:rPr>
        <w:t xml:space="preserve">、激励企业做精做优 </w:t>
      </w:r>
    </w:p>
    <w:p w14:paraId="479632E0">
      <w:pPr>
        <w:pStyle w:val="3"/>
        <w:spacing w:before="218" w:line="352" w:lineRule="auto"/>
        <w:ind w:firstLine="644"/>
        <w:rPr>
          <w:color w:val="auto"/>
          <w:lang w:eastAsia="zh-CN"/>
        </w:rPr>
      </w:pPr>
      <w:r>
        <w:rPr>
          <w:rFonts w:ascii="楷体" w:hAnsi="楷体" w:eastAsia="楷体" w:cs="楷体"/>
          <w:color w:val="auto"/>
          <w:kern w:val="0"/>
          <w:sz w:val="31"/>
          <w:szCs w:val="31"/>
          <w:lang w:eastAsia="zh-CN" w:bidi="ar"/>
        </w:rPr>
        <w:t>（</w:t>
      </w:r>
      <w:r>
        <w:rPr>
          <w:rFonts w:hint="eastAsia" w:ascii="楷体" w:hAnsi="楷体" w:eastAsia="楷体" w:cs="楷体"/>
          <w:color w:val="auto"/>
          <w:kern w:val="0"/>
          <w:sz w:val="31"/>
          <w:szCs w:val="31"/>
          <w:lang w:eastAsia="zh-CN" w:bidi="ar"/>
        </w:rPr>
        <w:t>七</w:t>
      </w:r>
      <w:r>
        <w:rPr>
          <w:rFonts w:ascii="楷体" w:hAnsi="楷体" w:eastAsia="楷体" w:cs="楷体"/>
          <w:color w:val="auto"/>
          <w:kern w:val="0"/>
          <w:sz w:val="31"/>
          <w:szCs w:val="31"/>
          <w:lang w:eastAsia="zh-CN" w:bidi="ar"/>
        </w:rPr>
        <w:t>）支持科技创新。</w:t>
      </w:r>
      <w:r>
        <w:rPr>
          <w:rFonts w:hint="eastAsia" w:ascii="仿宋" w:hAnsi="仿宋" w:eastAsia="仿宋" w:cs="仿宋"/>
          <w:color w:val="auto"/>
          <w:kern w:val="0"/>
          <w:sz w:val="31"/>
          <w:szCs w:val="31"/>
          <w:lang w:val="en-US" w:eastAsia="zh-CN" w:bidi="ar"/>
        </w:rPr>
        <w:t>鼓励建筑企业申报高新技术企业，享受科技部门相关政策。支持智能建造、绿色建造、新型建筑工业化等领域走在前列的专业生产型企业走“专精特新”道路，符合条件的可推优入选市级建筑业示范企业，择优推荐参评浙江省“专精特新”中小企业和国家级“专精特新”小巨人企业。支持信用良好的中小企业通过工程专业分包参与大型基础设施项目建设。开展优秀建筑业企业评选，根据企业年度地方综合贡献，同时结合企业资质、经营规模、工程质量等综合实力考评，由区政府发文命名建筑业龙头企业、建筑业重点骨干企业等，考评办法由区住建局另行制定。 （区住建局、区经信局）</w:t>
      </w:r>
    </w:p>
    <w:p w14:paraId="106EC9E8">
      <w:pPr>
        <w:widowControl/>
        <w:ind w:firstLine="620" w:firstLineChars="200"/>
        <w:jc w:val="left"/>
        <w:rPr>
          <w:color w:val="auto"/>
        </w:rPr>
      </w:pPr>
      <w:r>
        <w:rPr>
          <w:rFonts w:hint="eastAsia" w:ascii="楷体" w:hAnsi="楷体" w:eastAsia="楷体" w:cs="楷体"/>
          <w:color w:val="auto"/>
          <w:kern w:val="0"/>
          <w:sz w:val="31"/>
          <w:szCs w:val="31"/>
          <w:lang w:bidi="ar"/>
        </w:rPr>
        <w:t>（八）支持创优创杯。</w:t>
      </w:r>
      <w:r>
        <w:rPr>
          <w:rFonts w:hint="eastAsia" w:ascii="仿宋" w:hAnsi="仿宋" w:eastAsia="仿宋" w:cs="仿宋"/>
          <w:color w:val="auto"/>
          <w:kern w:val="0"/>
          <w:sz w:val="31"/>
          <w:szCs w:val="31"/>
          <w:lang w:bidi="ar"/>
        </w:rPr>
        <w:t>开展建筑工程质量评价，推行全域建筑施工安全生产标准化管理。推进建筑企业质量安全标准化，获得国家优质工程鲁班奖、国家优质工程奖、浙江省钱江杯的，分别奖励100万元、50万元、20万元。获全国AAA级安全文明标准化示范工地、浙江省建筑施工安全文明施工标准化工地、浙江省建筑业绿色施工示范工程的，分别奖励50万元、20万元、10万元（限椒江区项目）。</w:t>
      </w:r>
      <w:r>
        <w:rPr>
          <w:rFonts w:hint="eastAsia" w:ascii="仿宋_GB2312" w:eastAsia="仿宋_GB2312"/>
          <w:color w:val="auto"/>
          <w:sz w:val="32"/>
          <w:szCs w:val="32"/>
        </w:rPr>
        <w:t>获“全国建筑工程装饰奖”奖励</w:t>
      </w:r>
      <w:r>
        <w:rPr>
          <w:rFonts w:ascii="仿宋_GB2312" w:eastAsia="仿宋_GB2312"/>
          <w:color w:val="auto"/>
          <w:sz w:val="32"/>
          <w:szCs w:val="32"/>
        </w:rPr>
        <w:t>2</w:t>
      </w:r>
      <w:r>
        <w:rPr>
          <w:rFonts w:hint="eastAsia" w:ascii="仿宋_GB2312" w:eastAsia="仿宋_GB2312"/>
          <w:color w:val="auto"/>
          <w:sz w:val="32"/>
          <w:szCs w:val="32"/>
        </w:rPr>
        <w:t>万元。</w:t>
      </w:r>
      <w:r>
        <w:rPr>
          <w:rFonts w:hint="eastAsia" w:ascii="仿宋" w:hAnsi="仿宋" w:eastAsia="仿宋" w:cs="仿宋"/>
          <w:color w:val="auto"/>
          <w:kern w:val="0"/>
          <w:sz w:val="31"/>
          <w:szCs w:val="31"/>
          <w:lang w:bidi="ar"/>
        </w:rPr>
        <w:t>以上各类奖励以政府或行业主管部门发文为准（国家级奖励除外）。省外省级同级别奖项的，奖励减半，参建企业不予奖励。</w:t>
      </w:r>
      <w:r>
        <w:rPr>
          <w:rFonts w:hint="eastAsia" w:ascii="仿宋" w:hAnsi="仿宋" w:eastAsia="仿宋" w:cs="仿宋"/>
          <w:color w:val="auto"/>
          <w:kern w:val="0"/>
          <w:sz w:val="31"/>
          <w:szCs w:val="31"/>
          <w:lang w:eastAsia="zh-CN" w:bidi="ar"/>
        </w:rPr>
        <w:t>（</w:t>
      </w:r>
      <w:r>
        <w:rPr>
          <w:rFonts w:hint="eastAsia" w:ascii="仿宋" w:hAnsi="仿宋" w:eastAsia="仿宋" w:cs="仿宋"/>
          <w:color w:val="auto"/>
          <w:kern w:val="0"/>
          <w:sz w:val="31"/>
          <w:szCs w:val="31"/>
          <w:lang w:val="en-US" w:eastAsia="zh-CN" w:bidi="ar"/>
        </w:rPr>
        <w:t>区住建局、区财政局</w:t>
      </w:r>
      <w:r>
        <w:rPr>
          <w:rFonts w:hint="eastAsia" w:ascii="仿宋" w:hAnsi="仿宋" w:eastAsia="仿宋" w:cs="仿宋"/>
          <w:color w:val="auto"/>
          <w:kern w:val="0"/>
          <w:sz w:val="31"/>
          <w:szCs w:val="31"/>
          <w:lang w:eastAsia="zh-CN" w:bidi="ar"/>
        </w:rPr>
        <w:t>）</w:t>
      </w:r>
      <w:r>
        <w:rPr>
          <w:rFonts w:hint="eastAsia" w:ascii="仿宋" w:hAnsi="仿宋" w:eastAsia="仿宋" w:cs="仿宋"/>
          <w:color w:val="auto"/>
          <w:kern w:val="0"/>
          <w:sz w:val="31"/>
          <w:szCs w:val="31"/>
          <w:lang w:bidi="ar"/>
        </w:rPr>
        <w:t xml:space="preserve"> </w:t>
      </w:r>
    </w:p>
    <w:p w14:paraId="75949C56">
      <w:pPr>
        <w:widowControl/>
        <w:ind w:firstLine="620" w:firstLineChars="200"/>
        <w:jc w:val="left"/>
        <w:rPr>
          <w:color w:val="auto"/>
        </w:rPr>
      </w:pPr>
      <w:r>
        <w:rPr>
          <w:rFonts w:hint="eastAsia" w:ascii="黑体" w:hAnsi="宋体" w:eastAsia="黑体" w:cs="黑体"/>
          <w:color w:val="auto"/>
          <w:kern w:val="0"/>
          <w:sz w:val="31"/>
          <w:szCs w:val="31"/>
          <w:lang w:bidi="ar"/>
        </w:rPr>
        <w:t xml:space="preserve">四、加强保障措施 </w:t>
      </w:r>
    </w:p>
    <w:p w14:paraId="41844D62">
      <w:pPr>
        <w:widowControl/>
        <w:ind w:firstLine="620" w:firstLineChars="200"/>
        <w:jc w:val="left"/>
        <w:rPr>
          <w:color w:val="auto"/>
        </w:rPr>
      </w:pPr>
      <w:r>
        <w:rPr>
          <w:rFonts w:hint="eastAsia" w:ascii="楷体" w:hAnsi="楷体" w:eastAsia="楷体" w:cs="楷体"/>
          <w:color w:val="auto"/>
          <w:kern w:val="0"/>
          <w:sz w:val="31"/>
          <w:szCs w:val="31"/>
          <w:lang w:bidi="ar"/>
        </w:rPr>
        <w:t>（九）全面实施施工过程结算。</w:t>
      </w:r>
      <w:r>
        <w:rPr>
          <w:rFonts w:hint="eastAsia" w:ascii="仿宋" w:hAnsi="仿宋" w:eastAsia="仿宋" w:cs="仿宋"/>
          <w:color w:val="auto"/>
          <w:kern w:val="0"/>
          <w:sz w:val="31"/>
          <w:szCs w:val="31"/>
          <w:lang w:bidi="ar"/>
        </w:rPr>
        <w:t>政府或国有资金投资的房</w:t>
      </w:r>
      <w:r>
        <w:rPr>
          <w:rFonts w:ascii="仿宋" w:hAnsi="仿宋" w:eastAsia="仿宋" w:cs="仿宋"/>
          <w:color w:val="auto"/>
          <w:kern w:val="0"/>
          <w:sz w:val="31"/>
          <w:szCs w:val="31"/>
          <w:lang w:bidi="ar"/>
        </w:rPr>
        <w:t>屋建筑和市政基础设施工程，合同工期18个月及以上的项目全</w:t>
      </w:r>
      <w:r>
        <w:rPr>
          <w:rFonts w:hint="eastAsia" w:ascii="仿宋" w:hAnsi="仿宋" w:eastAsia="仿宋" w:cs="仿宋"/>
          <w:color w:val="auto"/>
          <w:kern w:val="0"/>
          <w:sz w:val="31"/>
          <w:szCs w:val="31"/>
          <w:lang w:bidi="ar"/>
        </w:rPr>
        <w:t>面推行施工过程结算。鼓励社会资本等其他投资主体投资的项目优先采用施工过程结算。对实施施工过程结算的工程推行全过程造价咨询，及时办理工程变更签证和施工过程结算审核。</w:t>
      </w:r>
      <w:r>
        <w:rPr>
          <w:rFonts w:hint="eastAsia" w:ascii="仿宋" w:hAnsi="仿宋" w:eastAsia="仿宋" w:cs="仿宋"/>
          <w:color w:val="auto"/>
          <w:kern w:val="0"/>
          <w:sz w:val="31"/>
          <w:szCs w:val="31"/>
          <w:lang w:eastAsia="zh-CN" w:bidi="ar"/>
        </w:rPr>
        <w:t>（</w:t>
      </w:r>
      <w:r>
        <w:rPr>
          <w:rFonts w:hint="eastAsia" w:ascii="仿宋" w:hAnsi="仿宋" w:eastAsia="仿宋" w:cs="仿宋"/>
          <w:color w:val="auto"/>
          <w:kern w:val="0"/>
          <w:sz w:val="31"/>
          <w:szCs w:val="31"/>
          <w:lang w:val="en-US" w:eastAsia="zh-CN" w:bidi="ar"/>
        </w:rPr>
        <w:t>区住建局）</w:t>
      </w:r>
    </w:p>
    <w:p w14:paraId="4D675340">
      <w:pPr>
        <w:widowControl/>
        <w:ind w:firstLine="620" w:firstLineChars="200"/>
        <w:jc w:val="left"/>
        <w:rPr>
          <w:color w:val="auto"/>
        </w:rPr>
      </w:pPr>
      <w:r>
        <w:rPr>
          <w:rFonts w:ascii="楷体" w:hAnsi="楷体" w:eastAsia="楷体" w:cs="楷体"/>
          <w:color w:val="auto"/>
          <w:kern w:val="0"/>
          <w:sz w:val="31"/>
          <w:szCs w:val="31"/>
          <w:lang w:bidi="ar"/>
        </w:rPr>
        <w:t>（</w:t>
      </w:r>
      <w:r>
        <w:rPr>
          <w:rFonts w:hint="eastAsia" w:ascii="楷体" w:hAnsi="楷体" w:eastAsia="楷体" w:cs="楷体"/>
          <w:color w:val="auto"/>
          <w:kern w:val="0"/>
          <w:sz w:val="31"/>
          <w:szCs w:val="31"/>
          <w:lang w:bidi="ar"/>
        </w:rPr>
        <w:t>十</w:t>
      </w:r>
      <w:r>
        <w:rPr>
          <w:rFonts w:ascii="楷体" w:hAnsi="楷体" w:eastAsia="楷体" w:cs="楷体"/>
          <w:color w:val="auto"/>
          <w:kern w:val="0"/>
          <w:sz w:val="31"/>
          <w:szCs w:val="31"/>
          <w:lang w:bidi="ar"/>
        </w:rPr>
        <w:t>）盘活建筑企业人才。</w:t>
      </w:r>
      <w:r>
        <w:rPr>
          <w:rFonts w:ascii="仿宋" w:hAnsi="仿宋" w:eastAsia="仿宋" w:cs="仿宋"/>
          <w:color w:val="auto"/>
          <w:kern w:val="0"/>
          <w:sz w:val="31"/>
          <w:szCs w:val="31"/>
          <w:lang w:bidi="ar"/>
        </w:rPr>
        <w:t>积极支持和引导各类职业(技工)院校、社会培训机构和建筑业企业开展建筑领域职业技能提升培训，推广企业职业技能等级自主认定工作。支持台州注册建造师回归发展。</w:t>
      </w:r>
      <w:r>
        <w:rPr>
          <w:rFonts w:hint="eastAsia" w:ascii="仿宋" w:hAnsi="仿宋" w:eastAsia="仿宋" w:cs="仿宋"/>
          <w:color w:val="auto"/>
          <w:kern w:val="0"/>
          <w:sz w:val="31"/>
          <w:szCs w:val="31"/>
          <w:lang w:bidi="ar"/>
        </w:rPr>
        <w:t>支持为建筑业贡献突出企业解决人才子女就学困难，按照</w:t>
      </w:r>
      <w:r>
        <w:rPr>
          <w:rFonts w:hint="eastAsia" w:ascii="仿宋" w:hAnsi="仿宋" w:eastAsia="仿宋" w:cs="仿宋"/>
          <w:color w:val="auto"/>
          <w:kern w:val="0"/>
          <w:sz w:val="31"/>
          <w:szCs w:val="31"/>
          <w:lang w:val="en-US" w:eastAsia="zh-CN" w:bidi="ar"/>
        </w:rPr>
        <w:t>上一年度年实际入库税收每500万元安排1个入学名额，限额5名</w:t>
      </w:r>
      <w:r>
        <w:rPr>
          <w:rFonts w:hint="eastAsia" w:ascii="仿宋" w:hAnsi="仿宋" w:eastAsia="仿宋" w:cs="仿宋"/>
          <w:color w:val="auto"/>
          <w:kern w:val="0"/>
          <w:sz w:val="31"/>
          <w:szCs w:val="31"/>
          <w:lang w:bidi="ar"/>
        </w:rPr>
        <w:t>。</w:t>
      </w:r>
      <w:r>
        <w:rPr>
          <w:rFonts w:ascii="仿宋" w:hAnsi="仿宋" w:eastAsia="仿宋" w:cs="仿宋"/>
          <w:color w:val="auto"/>
          <w:kern w:val="0"/>
          <w:sz w:val="31"/>
          <w:szCs w:val="31"/>
          <w:lang w:bidi="ar"/>
        </w:rPr>
        <w:t>支持在建筑业示范企业建立“新八级”职业技能等级制度，开展特级技师和首席技师试点工作。</w:t>
      </w:r>
      <w:r>
        <w:rPr>
          <w:rFonts w:hint="eastAsia" w:ascii="仿宋" w:hAnsi="仿宋" w:eastAsia="仿宋" w:cs="仿宋"/>
          <w:color w:val="auto"/>
          <w:kern w:val="0"/>
          <w:sz w:val="31"/>
          <w:szCs w:val="31"/>
          <w:lang w:bidi="ar"/>
        </w:rPr>
        <w:t>施工总承包单位已完成设计文件和合同约定的全部内容且经五方主体质量验收合格（具备单位工程五方验收记录表和业主证明），经建设单位同意，该项目施工单位的关键岗位人员可根据相关规定网上解锁，承接新的项目工程。</w:t>
      </w:r>
      <w:r>
        <w:rPr>
          <w:rFonts w:hint="eastAsia" w:ascii="仿宋" w:hAnsi="仿宋" w:eastAsia="仿宋" w:cs="仿宋"/>
          <w:color w:val="auto"/>
          <w:kern w:val="0"/>
          <w:sz w:val="31"/>
          <w:szCs w:val="31"/>
          <w:lang w:eastAsia="zh-CN" w:bidi="ar"/>
        </w:rPr>
        <w:t>（</w:t>
      </w:r>
      <w:r>
        <w:rPr>
          <w:rFonts w:hint="eastAsia" w:ascii="仿宋" w:hAnsi="仿宋" w:eastAsia="仿宋" w:cs="仿宋"/>
          <w:color w:val="auto"/>
          <w:kern w:val="0"/>
          <w:sz w:val="31"/>
          <w:szCs w:val="31"/>
          <w:lang w:val="en-US" w:eastAsia="zh-CN" w:bidi="ar"/>
        </w:rPr>
        <w:t>区住建局、区人社局、区教育局、区交通运输局、区农水局</w:t>
      </w:r>
      <w:r>
        <w:rPr>
          <w:rFonts w:hint="eastAsia" w:ascii="仿宋" w:hAnsi="仿宋" w:eastAsia="仿宋" w:cs="仿宋"/>
          <w:color w:val="auto"/>
          <w:kern w:val="0"/>
          <w:sz w:val="31"/>
          <w:szCs w:val="31"/>
          <w:lang w:eastAsia="zh-CN" w:bidi="ar"/>
        </w:rPr>
        <w:t>）</w:t>
      </w:r>
      <w:r>
        <w:rPr>
          <w:rFonts w:hint="eastAsia" w:ascii="仿宋" w:hAnsi="仿宋" w:eastAsia="仿宋" w:cs="仿宋"/>
          <w:color w:val="auto"/>
          <w:kern w:val="0"/>
          <w:sz w:val="31"/>
          <w:szCs w:val="31"/>
          <w:lang w:bidi="ar"/>
        </w:rPr>
        <w:t xml:space="preserve"> </w:t>
      </w:r>
    </w:p>
    <w:p w14:paraId="789BB321">
      <w:pPr>
        <w:widowControl/>
        <w:ind w:firstLine="620" w:firstLineChars="200"/>
        <w:jc w:val="left"/>
        <w:rPr>
          <w:rFonts w:hint="eastAsia" w:eastAsia="仿宋"/>
          <w:color w:val="auto"/>
          <w:lang w:eastAsia="zh-CN"/>
        </w:rPr>
      </w:pPr>
      <w:r>
        <w:rPr>
          <w:rFonts w:hint="eastAsia" w:ascii="楷体" w:hAnsi="楷体" w:eastAsia="楷体" w:cs="楷体"/>
          <w:color w:val="auto"/>
          <w:kern w:val="0"/>
          <w:sz w:val="31"/>
          <w:szCs w:val="31"/>
          <w:lang w:bidi="ar"/>
        </w:rPr>
        <w:t>（十一）为优质企业减负。</w:t>
      </w:r>
      <w:r>
        <w:rPr>
          <w:rFonts w:hint="eastAsia" w:ascii="仿宋" w:hAnsi="仿宋" w:eastAsia="仿宋" w:cs="仿宋"/>
          <w:color w:val="auto"/>
          <w:kern w:val="0"/>
          <w:sz w:val="31"/>
          <w:szCs w:val="31"/>
          <w:lang w:bidi="ar"/>
        </w:rPr>
        <w:t>优化营商环境，对信用优良的骨干企业在行政检查上减少频次，各主管部门在对优秀企业、责任担当企业在轻微情节且及时整改到位的行政处罚上，原则上不上网不通报，以教育培训改进提升为目的。全面推行建筑施工领域安全生产责任保险。积极推进建设单位向施工单位提供工程款支付担保机制。履约保证金、农民工工资保证金、工程质量保证金等全面推行工程保函缴纳，降低企业经营成本。加快建筑市场信用体系建设，建立信用与工程保函挂钩机制。对于信誉优良的建筑业龙头企业、建筑业重点骨干企业参与施工的开发项目在行政审批、竣工验收、评奖评优等方面优先开设绿色通道。</w:t>
      </w:r>
      <w:r>
        <w:rPr>
          <w:rFonts w:hint="eastAsia" w:ascii="仿宋" w:hAnsi="仿宋" w:eastAsia="仿宋" w:cs="仿宋"/>
          <w:color w:val="auto"/>
          <w:kern w:val="0"/>
          <w:sz w:val="31"/>
          <w:szCs w:val="31"/>
          <w:lang w:eastAsia="zh-CN" w:bidi="ar"/>
        </w:rPr>
        <w:t>（</w:t>
      </w:r>
      <w:r>
        <w:rPr>
          <w:rFonts w:hint="eastAsia" w:ascii="仿宋" w:hAnsi="仿宋" w:eastAsia="仿宋" w:cs="仿宋"/>
          <w:color w:val="auto"/>
          <w:kern w:val="0"/>
          <w:sz w:val="31"/>
          <w:szCs w:val="31"/>
          <w:lang w:val="en-US" w:eastAsia="zh-CN" w:bidi="ar"/>
        </w:rPr>
        <w:t>区住建局、区人社局、区交通运输局、区农水局、区金融工作中心</w:t>
      </w:r>
      <w:r>
        <w:rPr>
          <w:rFonts w:hint="eastAsia" w:ascii="仿宋" w:hAnsi="仿宋" w:eastAsia="仿宋" w:cs="仿宋"/>
          <w:color w:val="auto"/>
          <w:kern w:val="0"/>
          <w:sz w:val="31"/>
          <w:szCs w:val="31"/>
          <w:lang w:eastAsia="zh-CN" w:bidi="ar"/>
        </w:rPr>
        <w:t>）</w:t>
      </w:r>
    </w:p>
    <w:p w14:paraId="13721D8E">
      <w:pPr>
        <w:widowControl/>
        <w:ind w:firstLine="620" w:firstLineChars="200"/>
        <w:jc w:val="left"/>
        <w:rPr>
          <w:color w:val="auto"/>
        </w:rPr>
      </w:pPr>
      <w:r>
        <w:rPr>
          <w:rFonts w:hint="eastAsia" w:ascii="黑体" w:hAnsi="宋体" w:eastAsia="黑体" w:cs="黑体"/>
          <w:color w:val="auto"/>
          <w:kern w:val="0"/>
          <w:sz w:val="31"/>
          <w:szCs w:val="31"/>
          <w:lang w:bidi="ar"/>
        </w:rPr>
        <w:t>五</w:t>
      </w:r>
      <w:r>
        <w:rPr>
          <w:rFonts w:ascii="黑体" w:hAnsi="宋体" w:eastAsia="黑体" w:cs="黑体"/>
          <w:color w:val="auto"/>
          <w:kern w:val="0"/>
          <w:sz w:val="31"/>
          <w:szCs w:val="31"/>
          <w:lang w:bidi="ar"/>
        </w:rPr>
        <w:t>、附则</w:t>
      </w:r>
    </w:p>
    <w:p w14:paraId="5928E791">
      <w:pPr>
        <w:widowControl/>
        <w:ind w:firstLine="620" w:firstLineChars="200"/>
        <w:jc w:val="left"/>
        <w:rPr>
          <w:color w:val="auto"/>
        </w:rPr>
      </w:pPr>
      <w:r>
        <w:rPr>
          <w:rFonts w:ascii="仿宋" w:hAnsi="仿宋" w:eastAsia="仿宋" w:cs="仿宋"/>
          <w:color w:val="auto"/>
          <w:kern w:val="0"/>
          <w:sz w:val="31"/>
          <w:szCs w:val="31"/>
          <w:lang w:bidi="ar"/>
        </w:rPr>
        <w:t>（</w:t>
      </w:r>
      <w:r>
        <w:rPr>
          <w:rFonts w:hint="eastAsia" w:ascii="仿宋" w:hAnsi="仿宋" w:eastAsia="仿宋" w:cs="仿宋"/>
          <w:color w:val="auto"/>
          <w:kern w:val="0"/>
          <w:sz w:val="31"/>
          <w:szCs w:val="31"/>
          <w:lang w:bidi="ar"/>
        </w:rPr>
        <w:t>十二</w:t>
      </w:r>
      <w:r>
        <w:rPr>
          <w:rFonts w:ascii="仿宋" w:hAnsi="仿宋" w:eastAsia="仿宋" w:cs="仿宋"/>
          <w:color w:val="auto"/>
          <w:kern w:val="0"/>
          <w:sz w:val="31"/>
          <w:szCs w:val="31"/>
          <w:lang w:bidi="ar"/>
        </w:rPr>
        <w:t>）享受上述扶持政策的企业是指在椒江依法纳税、具</w:t>
      </w:r>
      <w:r>
        <w:rPr>
          <w:rFonts w:hint="eastAsia" w:ascii="仿宋" w:hAnsi="仿宋" w:eastAsia="仿宋" w:cs="仿宋"/>
          <w:color w:val="auto"/>
          <w:kern w:val="0"/>
          <w:sz w:val="31"/>
          <w:szCs w:val="31"/>
          <w:lang w:bidi="ar"/>
        </w:rPr>
        <w:t xml:space="preserve">有独立法人资格的企业。对企业的各项奖励补助，以不超过该企业在企业注册地当年的地方贡献部分为限（当年新成立、新落户企业除外）。企业有严重失信行为或发生较大质量安全责任事故的，取消当年度享受本意见的资格；情节严重的，三年内不得享受。 </w:t>
      </w:r>
    </w:p>
    <w:p w14:paraId="77E5FA24">
      <w:pPr>
        <w:widowControl/>
        <w:ind w:firstLine="620" w:firstLineChars="200"/>
        <w:jc w:val="left"/>
        <w:rPr>
          <w:color w:val="auto"/>
        </w:rPr>
      </w:pPr>
      <w:r>
        <w:rPr>
          <w:rFonts w:hint="eastAsia" w:ascii="仿宋" w:hAnsi="仿宋" w:eastAsia="仿宋" w:cs="仿宋"/>
          <w:color w:val="auto"/>
          <w:kern w:val="0"/>
          <w:sz w:val="31"/>
          <w:szCs w:val="31"/>
          <w:lang w:bidi="ar"/>
        </w:rPr>
        <w:t xml:space="preserve">（十三）本意见涉及同一类别奖励项目与省、市、区其他政策文件规定不一致的，按就高不重复原则实施。同一工程获得同一性质、不同级别奖项的，按最高级别奖励。 </w:t>
      </w:r>
    </w:p>
    <w:p w14:paraId="3C571D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20" w:firstLineChars="200"/>
        <w:jc w:val="both"/>
        <w:rPr>
          <w:rFonts w:hint="eastAsia" w:ascii="仿宋" w:hAnsi="仿宋" w:eastAsia="仿宋" w:cs="仿宋"/>
          <w:color w:val="auto"/>
          <w:kern w:val="0"/>
          <w:sz w:val="31"/>
          <w:szCs w:val="31"/>
          <w:lang w:bidi="ar"/>
        </w:rPr>
      </w:pPr>
      <w:bookmarkStart w:id="0" w:name="_GoBack"/>
      <w:bookmarkEnd w:id="0"/>
      <w:r>
        <w:rPr>
          <w:rFonts w:hint="eastAsia" w:ascii="仿宋" w:hAnsi="仿宋" w:eastAsia="仿宋" w:cs="仿宋"/>
          <w:color w:val="auto"/>
          <w:kern w:val="0"/>
          <w:sz w:val="31"/>
          <w:szCs w:val="31"/>
          <w:lang w:bidi="ar"/>
        </w:rPr>
        <w:t>（十四）本意见自发布之日开始施行，2024年全年奖励参照执行，本意见有效期5年。</w:t>
      </w:r>
    </w:p>
    <w:p w14:paraId="4B7490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i w:val="0"/>
          <w:iCs w:val="0"/>
          <w:caps w:val="0"/>
          <w:color w:val="333333"/>
          <w:spacing w:val="0"/>
          <w:sz w:val="24"/>
          <w:szCs w:val="24"/>
          <w:shd w:val="clear" w:fill="FFFFFF"/>
          <w:lang w:val="en-US" w:eastAsia="zh-CN"/>
        </w:rPr>
      </w:pPr>
    </w:p>
    <w:p w14:paraId="36EB8A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jNmYyOTFkMmRiZWM4ZmQxZGVlNThlNmFkMTI0MDEifQ=="/>
  </w:docVars>
  <w:rsids>
    <w:rsidRoot w:val="00000000"/>
    <w:rsid w:val="160F762C"/>
    <w:rsid w:val="2A9160E4"/>
    <w:rsid w:val="2AB17193"/>
    <w:rsid w:val="318A5703"/>
    <w:rsid w:val="379C3AC9"/>
    <w:rsid w:val="50AF0962"/>
    <w:rsid w:val="560611D3"/>
    <w:rsid w:val="56594A37"/>
    <w:rsid w:val="5C4E40FD"/>
    <w:rsid w:val="5D14771D"/>
    <w:rsid w:val="5D6B3831"/>
    <w:rsid w:val="652E4378"/>
    <w:rsid w:val="67184FB0"/>
    <w:rsid w:val="6A374B92"/>
    <w:rsid w:val="73EE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Times New Roman" w:hAnsi="Times New Roman" w:cs="Times New Roman"/>
    </w:rPr>
  </w:style>
  <w:style w:type="paragraph" w:styleId="3">
    <w:name w:val="Body Text"/>
    <w:basedOn w:val="1"/>
    <w:next w:val="2"/>
    <w:qFormat/>
    <w:uiPriority w:val="99"/>
    <w:pPr>
      <w:spacing w:after="120"/>
    </w:pPr>
  </w:style>
  <w:style w:type="paragraph" w:styleId="5">
    <w:name w:val="annotation text"/>
    <w:basedOn w:val="1"/>
    <w:qFormat/>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4324</Words>
  <Characters>4385</Characters>
  <Lines>0</Lines>
  <Paragraphs>0</Paragraphs>
  <TotalTime>8</TotalTime>
  <ScaleCrop>false</ScaleCrop>
  <LinksUpToDate>false</LinksUpToDate>
  <CharactersWithSpaces>4404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2023-08-08T02:10:00Z</dcterms:created>
  <dc:creator>Administrator</dc:creator>
  <cp:lastModifiedBy>兮</cp:lastModifiedBy>
  <dcterms:modified xsi:type="dcterms:W3CDTF">2024-08-23T08:57:30Z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BA68E96A8AEF42448DB94AF83DC0BFA2</vt:lpwstr>
  </property>
</Properties>
</file>