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67" w:lineRule="exact"/>
        <w:ind w:right="0" w:hanging="84"/>
        <w:jc w:val="left"/>
      </w:pPr>
      <w:r>
        <w:rPr>
          <w:spacing w:val="-3"/>
        </w:rPr>
        <w:t>关于《丽水市公安局莲都区分局巡特警大队</w:t>
      </w:r>
    </w:p>
    <w:p>
      <w:pPr>
        <w:spacing w:line="189" w:lineRule="auto" w:before="44"/>
        <w:ind w:left="3393" w:right="0" w:hanging="3190"/>
        <w:jc w:val="left"/>
        <w:rPr>
          <w:rFonts w:ascii="方正小标宋简体" w:hAnsi="方正小标宋简体" w:cs="方正小标宋简体" w:eastAsia="方正小标宋简体"/>
          <w:sz w:val="44"/>
          <w:szCs w:val="44"/>
        </w:rPr>
      </w:pPr>
      <w:r>
        <w:rPr>
          <w:rFonts w:ascii="方正小标宋简体" w:hAnsi="方正小标宋简体" w:cs="方正小标宋简体" w:eastAsia="方正小标宋简体"/>
          <w:spacing w:val="-12"/>
          <w:sz w:val="44"/>
          <w:szCs w:val="44"/>
        </w:rPr>
        <w:t>业务用房搬迁工作方案》（征求意见稿）的</w:t>
      </w:r>
      <w:r>
        <w:rPr>
          <w:rFonts w:ascii="方正小标宋简体" w:hAnsi="方正小标宋简体" w:cs="方正小标宋简体" w:eastAsia="方正小标宋简体"/>
          <w:w w:val="99"/>
          <w:sz w:val="44"/>
          <w:szCs w:val="44"/>
        </w:rPr>
        <w:t> </w:t>
      </w:r>
      <w:r>
        <w:rPr>
          <w:rFonts w:ascii="方正小标宋简体" w:hAnsi="方正小标宋简体" w:cs="方正小标宋简体" w:eastAsia="方正小标宋简体"/>
          <w:sz w:val="44"/>
          <w:szCs w:val="44"/>
        </w:rPr>
        <w:t>起草说明</w:t>
      </w:r>
    </w:p>
    <w:p>
      <w:pPr>
        <w:pStyle w:val="BodyText"/>
        <w:spacing w:line="357" w:lineRule="auto" w:before="63"/>
        <w:ind w:right="257" w:firstLine="640"/>
        <w:jc w:val="both"/>
        <w:rPr>
          <w:rFonts w:ascii="仿宋_GB2312" w:hAnsi="仿宋_GB2312" w:cs="仿宋_GB2312" w:eastAsia="仿宋_GB2312"/>
        </w:rPr>
      </w:pPr>
      <w:r>
        <w:rPr>
          <w:rFonts w:ascii="仿宋_GB2312" w:hAnsi="仿宋_GB2312" w:cs="仿宋_GB2312" w:eastAsia="仿宋_GB2312"/>
          <w:w w:val="95"/>
        </w:rPr>
        <w:t>现就我单位起草的《莲都公安分局岩泉派出所东港警务</w:t>
      </w:r>
      <w:r>
        <w:rPr>
          <w:rFonts w:ascii="仿宋_GB2312" w:hAnsi="仿宋_GB2312" w:cs="仿宋_GB2312" w:eastAsia="仿宋_GB2312"/>
          <w:w w:val="99"/>
        </w:rPr>
        <w:t> </w:t>
      </w:r>
      <w:r>
        <w:rPr>
          <w:rFonts w:ascii="仿宋_GB2312" w:hAnsi="仿宋_GB2312" w:cs="仿宋_GB2312" w:eastAsia="仿宋_GB2312"/>
          <w:spacing w:val="-7"/>
        </w:rPr>
        <w:t>室建设工作方案》（征求意见稿）有关情况说明如下：</w:t>
      </w:r>
    </w:p>
    <w:p>
      <w:pPr>
        <w:pStyle w:val="BodyText"/>
        <w:spacing w:line="240" w:lineRule="auto"/>
        <w:ind w:left="760" w:right="0"/>
        <w:jc w:val="left"/>
        <w:rPr>
          <w:rFonts w:ascii="黑体" w:hAnsi="黑体" w:cs="黑体" w:eastAsia="黑体"/>
        </w:rPr>
      </w:pPr>
      <w:r>
        <w:rPr>
          <w:rFonts w:ascii="黑体" w:hAnsi="黑体" w:cs="黑体" w:eastAsia="黑体"/>
        </w:rPr>
        <w:t>一、</w:t>
      </w:r>
      <w:r>
        <w:rPr>
          <w:rFonts w:ascii="黑体" w:hAnsi="黑体" w:cs="黑体" w:eastAsia="黑体"/>
          <w:spacing w:val="-6"/>
        </w:rPr>
        <w:t> </w:t>
      </w:r>
      <w:r>
        <w:rPr>
          <w:rFonts w:ascii="黑体" w:hAnsi="黑体" w:cs="黑体" w:eastAsia="黑体"/>
        </w:rPr>
        <w:t>制定文件的必要性和可行性</w:t>
      </w:r>
    </w:p>
    <w:p>
      <w:pPr>
        <w:pStyle w:val="BodyText"/>
        <w:spacing w:line="357" w:lineRule="auto" w:before="205"/>
        <w:ind w:right="99" w:firstLine="640"/>
        <w:jc w:val="both"/>
      </w:pPr>
      <w:r>
        <w:rPr/>
        <w:t>为确保搬迁工作顺利、有序进行，最大程度减少对业务</w:t>
      </w:r>
      <w:r>
        <w:rPr>
          <w:w w:val="99"/>
        </w:rPr>
        <w:t> </w:t>
      </w:r>
      <w:r>
        <w:rPr/>
        <w:t>工作的影响。本方案旨在明确流程、责任分工、时间节点等</w:t>
      </w:r>
      <w:r>
        <w:rPr>
          <w:w w:val="99"/>
        </w:rPr>
        <w:t> </w:t>
      </w:r>
      <w:r>
        <w:rPr>
          <w:spacing w:val="-6"/>
          <w:w w:val="95"/>
        </w:rPr>
        <w:t>关键要素，保障搬迁全程高效、安全、平稳，实现正常运作。</w:t>
      </w:r>
      <w:r>
        <w:rPr>
          <w:spacing w:val="-6"/>
        </w:rPr>
      </w:r>
    </w:p>
    <w:p>
      <w:pPr>
        <w:pStyle w:val="BodyText"/>
        <w:spacing w:line="240" w:lineRule="auto"/>
        <w:ind w:left="760" w:right="0"/>
        <w:jc w:val="left"/>
        <w:rPr>
          <w:rFonts w:ascii="黑体" w:hAnsi="黑体" w:cs="黑体" w:eastAsia="黑体"/>
        </w:rPr>
      </w:pPr>
      <w:r>
        <w:rPr>
          <w:rFonts w:ascii="黑体" w:hAnsi="黑体" w:cs="黑体" w:eastAsia="黑体"/>
        </w:rPr>
        <w:t>二、起草情况</w:t>
      </w:r>
    </w:p>
    <w:p>
      <w:pPr>
        <w:pStyle w:val="Heading2"/>
        <w:spacing w:line="240" w:lineRule="auto" w:before="205"/>
        <w:ind w:right="0"/>
        <w:jc w:val="left"/>
        <w:rPr>
          <w:b w:val="0"/>
          <w:bCs w:val="0"/>
        </w:rPr>
      </w:pPr>
      <w:r>
        <w:rPr/>
        <w:t>（一）有关方面意见的协调处理情况</w:t>
      </w:r>
      <w:r>
        <w:rPr>
          <w:b w:val="0"/>
          <w:bCs w:val="0"/>
        </w:rPr>
      </w:r>
    </w:p>
    <w:p>
      <w:pPr>
        <w:pStyle w:val="BodyText"/>
        <w:spacing w:line="357" w:lineRule="auto" w:before="205"/>
        <w:ind w:right="257" w:firstLine="640"/>
        <w:jc w:val="both"/>
      </w:pPr>
      <w:r>
        <w:rPr>
          <w:w w:val="95"/>
        </w:rPr>
        <w:t>1.成立起草小组。由警务保障处、巡特警大队组成，负</w:t>
      </w:r>
      <w:r>
        <w:rPr>
          <w:w w:val="99"/>
        </w:rPr>
        <w:t> </w:t>
      </w:r>
      <w:r>
        <w:rPr>
          <w:w w:val="95"/>
        </w:rPr>
        <w:t>责方案起草。小组成员充分讨论搬迁涉及的各方面事宜，为</w:t>
      </w:r>
      <w:r>
        <w:rPr>
          <w:spacing w:val="87"/>
          <w:w w:val="95"/>
        </w:rPr>
        <w:t> </w:t>
      </w:r>
      <w:r>
        <w:rPr>
          <w:spacing w:val="87"/>
          <w:w w:val="95"/>
        </w:rPr>
      </w:r>
      <w:r>
        <w:rPr/>
        <w:t>方案制定提供多维度视角</w:t>
      </w:r>
    </w:p>
    <w:p>
      <w:pPr>
        <w:pStyle w:val="BodyText"/>
        <w:spacing w:line="357" w:lineRule="auto"/>
        <w:ind w:right="260" w:firstLine="640"/>
        <w:jc w:val="both"/>
      </w:pPr>
      <w:r>
        <w:rPr>
          <w:w w:val="95"/>
        </w:rPr>
        <w:t>2.全面调研。一方面手机单位现有办公设备、资料数量</w:t>
      </w:r>
      <w:r>
        <w:rPr>
          <w:w w:val="99"/>
        </w:rPr>
        <w:t> </w:t>
      </w:r>
      <w:r>
        <w:rPr>
          <w:w w:val="95"/>
        </w:rPr>
        <w:t>及布局信息。另一方面，实地勘察新业务用房，了解房屋结</w:t>
      </w:r>
      <w:r>
        <w:rPr>
          <w:spacing w:val="86"/>
          <w:w w:val="95"/>
        </w:rPr>
        <w:t> </w:t>
      </w:r>
      <w:r>
        <w:rPr>
          <w:spacing w:val="86"/>
          <w:w w:val="95"/>
        </w:rPr>
      </w:r>
      <w:r>
        <w:rPr>
          <w:w w:val="95"/>
        </w:rPr>
        <w:t>构、空间规划等情况，为方案内容的针对性和可行性奠定基</w:t>
      </w:r>
      <w:r>
        <w:rPr>
          <w:spacing w:val="87"/>
          <w:w w:val="95"/>
        </w:rPr>
        <w:t> </w:t>
      </w:r>
      <w:r>
        <w:rPr>
          <w:spacing w:val="87"/>
          <w:w w:val="95"/>
        </w:rPr>
      </w:r>
      <w:r>
        <w:rPr/>
        <w:t>础。</w:t>
      </w:r>
    </w:p>
    <w:p>
      <w:pPr>
        <w:pStyle w:val="BodyText"/>
        <w:spacing w:line="357" w:lineRule="auto"/>
        <w:ind w:right="257" w:firstLine="640"/>
        <w:jc w:val="both"/>
      </w:pPr>
      <w:r>
        <w:rPr>
          <w:w w:val="95"/>
        </w:rPr>
        <w:t>3.内部征求意见。广泛征求各科室意见，主要集中在搬</w:t>
      </w:r>
      <w:r>
        <w:rPr>
          <w:w w:val="99"/>
        </w:rPr>
        <w:t> </w:t>
      </w:r>
      <w:r>
        <w:rPr>
          <w:w w:val="95"/>
        </w:rPr>
        <w:t>迁顺序、设备保护、新址功能区划分等方面。起草小组对意</w:t>
      </w:r>
      <w:r>
        <w:rPr>
          <w:spacing w:val="88"/>
          <w:w w:val="95"/>
        </w:rPr>
        <w:t> </w:t>
      </w:r>
      <w:r>
        <w:rPr>
          <w:spacing w:val="88"/>
          <w:w w:val="95"/>
        </w:rPr>
      </w:r>
      <w:r>
        <w:rPr/>
        <w:t>见进行逐条分析研究，最终形成初稿。</w:t>
      </w: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（二）起草单位集体讨论情况</w:t>
      </w:r>
      <w:r>
        <w:rPr>
          <w:b w:val="0"/>
          <w:bCs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1440" w:bottom="280" w:left="1680" w:right="1540"/>
        </w:sectPr>
      </w:pPr>
    </w:p>
    <w:p>
      <w:pPr>
        <w:pStyle w:val="BodyText"/>
        <w:spacing w:line="395" w:lineRule="exact" w:before="0"/>
        <w:ind w:right="0" w:firstLine="640"/>
        <w:jc w:val="both"/>
        <w:rPr>
          <w:rFonts w:ascii="仿宋_GB2312" w:hAnsi="仿宋_GB2312" w:cs="仿宋_GB2312" w:eastAsia="仿宋_GB2312"/>
        </w:rPr>
      </w:pPr>
      <w:r>
        <w:rPr>
          <w:rFonts w:ascii="仿宋_GB2312" w:hAnsi="仿宋_GB2312" w:cs="仿宋_GB2312" w:eastAsia="仿宋_GB2312"/>
        </w:rPr>
        <w:t>2025</w:t>
      </w:r>
      <w:r>
        <w:rPr>
          <w:rFonts w:ascii="仿宋_GB2312" w:hAnsi="仿宋_GB2312" w:cs="仿宋_GB2312" w:eastAsia="仿宋_GB2312"/>
          <w:spacing w:val="-81"/>
        </w:rPr>
        <w:t> </w:t>
      </w:r>
      <w:r>
        <w:rPr>
          <w:rFonts w:ascii="仿宋_GB2312" w:hAnsi="仿宋_GB2312" w:cs="仿宋_GB2312" w:eastAsia="仿宋_GB2312"/>
        </w:rPr>
        <w:t>年</w:t>
      </w:r>
      <w:r>
        <w:rPr>
          <w:rFonts w:ascii="仿宋_GB2312" w:hAnsi="仿宋_GB2312" w:cs="仿宋_GB2312" w:eastAsia="仿宋_GB2312"/>
          <w:spacing w:val="-79"/>
        </w:rPr>
        <w:t> </w:t>
      </w:r>
      <w:r>
        <w:rPr>
          <w:rFonts w:ascii="仿宋_GB2312" w:hAnsi="仿宋_GB2312" w:cs="仿宋_GB2312" w:eastAsia="仿宋_GB2312"/>
        </w:rPr>
        <w:t>3</w:t>
      </w:r>
      <w:r>
        <w:rPr>
          <w:rFonts w:ascii="仿宋_GB2312" w:hAnsi="仿宋_GB2312" w:cs="仿宋_GB2312" w:eastAsia="仿宋_GB2312"/>
          <w:spacing w:val="-81"/>
        </w:rPr>
        <w:t> </w:t>
      </w:r>
      <w:r>
        <w:rPr>
          <w:rFonts w:ascii="仿宋_GB2312" w:hAnsi="仿宋_GB2312" w:cs="仿宋_GB2312" w:eastAsia="仿宋_GB2312"/>
        </w:rPr>
        <w:t>月</w:t>
      </w:r>
      <w:r>
        <w:rPr>
          <w:rFonts w:ascii="仿宋_GB2312" w:hAnsi="仿宋_GB2312" w:cs="仿宋_GB2312" w:eastAsia="仿宋_GB2312"/>
          <w:spacing w:val="-79"/>
        </w:rPr>
        <w:t> </w:t>
      </w:r>
      <w:r>
        <w:rPr>
          <w:rFonts w:ascii="仿宋_GB2312" w:hAnsi="仿宋_GB2312" w:cs="仿宋_GB2312" w:eastAsia="仿宋_GB2312"/>
        </w:rPr>
        <w:t>24</w:t>
      </w:r>
      <w:r>
        <w:rPr>
          <w:rFonts w:ascii="仿宋_GB2312" w:hAnsi="仿宋_GB2312" w:cs="仿宋_GB2312" w:eastAsia="仿宋_GB2312"/>
          <w:spacing w:val="-81"/>
        </w:rPr>
        <w:t> </w:t>
      </w:r>
      <w:r>
        <w:rPr>
          <w:rFonts w:ascii="仿宋_GB2312" w:hAnsi="仿宋_GB2312" w:cs="仿宋_GB2312" w:eastAsia="仿宋_GB2312"/>
          <w:spacing w:val="3"/>
        </w:rPr>
        <w:t>日，经分局党委讨论决定，将《莲都公</w:t>
      </w:r>
    </w:p>
    <w:p>
      <w:pPr>
        <w:pStyle w:val="BodyText"/>
        <w:spacing w:line="357" w:lineRule="auto" w:before="205"/>
        <w:ind w:right="0"/>
        <w:jc w:val="left"/>
        <w:rPr>
          <w:rFonts w:ascii="仿宋_GB2312" w:hAnsi="仿宋_GB2312" w:cs="仿宋_GB2312" w:eastAsia="仿宋_GB2312"/>
        </w:rPr>
      </w:pPr>
      <w:r>
        <w:rPr>
          <w:rFonts w:ascii="仿宋_GB2312" w:hAnsi="仿宋_GB2312" w:cs="仿宋_GB2312" w:eastAsia="仿宋_GB2312"/>
          <w:spacing w:val="-6"/>
          <w:w w:val="95"/>
        </w:rPr>
        <w:t>安分局岩泉派出所东港警务室建设工作方案》（征求意见稿）</w:t>
      </w:r>
      <w:r>
        <w:rPr>
          <w:rFonts w:ascii="仿宋_GB2312" w:hAnsi="仿宋_GB2312" w:cs="仿宋_GB2312" w:eastAsia="仿宋_GB2312"/>
          <w:spacing w:val="111"/>
          <w:w w:val="95"/>
        </w:rPr>
        <w:t> </w:t>
      </w:r>
      <w:r>
        <w:rPr>
          <w:rFonts w:ascii="仿宋_GB2312" w:hAnsi="仿宋_GB2312" w:cs="仿宋_GB2312" w:eastAsia="仿宋_GB2312"/>
          <w:spacing w:val="111"/>
          <w:w w:val="95"/>
        </w:rPr>
      </w:r>
      <w:r>
        <w:rPr>
          <w:rFonts w:ascii="仿宋_GB2312" w:hAnsi="仿宋_GB2312" w:cs="仿宋_GB2312" w:eastAsia="仿宋_GB2312"/>
        </w:rPr>
        <w:t>作为分局今年重大行政决策项目。</w:t>
      </w:r>
    </w:p>
    <w:p>
      <w:pPr>
        <w:pStyle w:val="BodyText"/>
        <w:spacing w:line="240" w:lineRule="auto"/>
        <w:ind w:left="760" w:right="0"/>
        <w:jc w:val="left"/>
        <w:rPr>
          <w:rFonts w:ascii="黑体" w:hAnsi="黑体" w:cs="黑体" w:eastAsia="黑体"/>
        </w:rPr>
      </w:pPr>
      <w:r>
        <w:rPr>
          <w:rFonts w:ascii="黑体" w:hAnsi="黑体" w:cs="黑体" w:eastAsia="黑体"/>
        </w:rPr>
        <w:t>三、</w:t>
      </w:r>
      <w:r>
        <w:rPr>
          <w:rFonts w:ascii="黑体" w:hAnsi="黑体" w:cs="黑体" w:eastAsia="黑体"/>
          <w:spacing w:val="-5"/>
        </w:rPr>
        <w:t> </w:t>
      </w:r>
      <w:r>
        <w:rPr>
          <w:rFonts w:ascii="黑体" w:hAnsi="黑体" w:cs="黑体" w:eastAsia="黑体"/>
        </w:rPr>
        <w:t>需要解决的主要问题</w:t>
      </w:r>
    </w:p>
    <w:p>
      <w:pPr>
        <w:pStyle w:val="BodyText"/>
        <w:spacing w:line="357" w:lineRule="auto" w:before="205"/>
        <w:ind w:right="245" w:firstLine="640"/>
        <w:jc w:val="both"/>
      </w:pPr>
      <w:r>
        <w:rPr>
          <w:w w:val="95"/>
        </w:rPr>
        <w:t>本次业务用房搬迁主要涉及以下几方面问题，一是搬迁</w:t>
      </w:r>
      <w:r>
        <w:rPr>
          <w:w w:val="99"/>
        </w:rPr>
        <w:t> </w:t>
      </w:r>
      <w:r>
        <w:rPr>
          <w:w w:val="95"/>
        </w:rPr>
        <w:t>过程中业务中断风险；二是办公设备损坏与数据丢失风险；</w:t>
      </w:r>
      <w:r>
        <w:rPr>
          <w:spacing w:val="101"/>
          <w:w w:val="95"/>
        </w:rPr>
        <w:t> </w:t>
      </w:r>
      <w:r>
        <w:rPr>
          <w:spacing w:val="101"/>
          <w:w w:val="95"/>
        </w:rPr>
      </w:r>
      <w:r>
        <w:rPr/>
        <w:t>三是搬迁现场混乱。</w:t>
      </w:r>
    </w:p>
    <w:p>
      <w:pPr>
        <w:pStyle w:val="BodyText"/>
        <w:spacing w:line="240" w:lineRule="auto"/>
        <w:ind w:left="760" w:right="0"/>
        <w:jc w:val="left"/>
        <w:rPr>
          <w:rFonts w:ascii="黑体" w:hAnsi="黑体" w:cs="黑体" w:eastAsia="黑体"/>
        </w:rPr>
      </w:pPr>
      <w:r>
        <w:rPr>
          <w:rFonts w:ascii="黑体" w:hAnsi="黑体" w:cs="黑体" w:eastAsia="黑体"/>
        </w:rPr>
        <w:t>四、拟采取的主要措施</w:t>
      </w:r>
    </w:p>
    <w:p>
      <w:pPr>
        <w:pStyle w:val="BodyText"/>
        <w:spacing w:line="357" w:lineRule="auto" w:before="205"/>
        <w:ind w:right="245" w:firstLine="640"/>
        <w:jc w:val="both"/>
      </w:pPr>
      <w:r>
        <w:rPr>
          <w:w w:val="95"/>
        </w:rPr>
        <w:t>针对以上问题，分局拟采取以下措施。一是提前梳理关</w:t>
      </w:r>
      <w:r>
        <w:rPr>
          <w:w w:val="99"/>
        </w:rPr>
        <w:t> </w:t>
      </w:r>
      <w:r>
        <w:rPr>
          <w:w w:val="95"/>
        </w:rPr>
        <w:t>键业务流程，制定业务应急预案，安排专人负责业务衔接。</w:t>
      </w:r>
      <w:r>
        <w:rPr>
          <w:spacing w:val="101"/>
          <w:w w:val="95"/>
        </w:rPr>
        <w:t> </w:t>
      </w:r>
      <w:r>
        <w:rPr>
          <w:spacing w:val="101"/>
          <w:w w:val="95"/>
        </w:rPr>
      </w:r>
      <w:r>
        <w:rPr>
          <w:w w:val="95"/>
        </w:rPr>
        <w:t>二是对设备进行全面检查和加固包装；提前备份重要数据，</w:t>
      </w:r>
      <w:r>
        <w:rPr>
          <w:spacing w:val="101"/>
          <w:w w:val="95"/>
        </w:rPr>
        <w:t> </w:t>
      </w:r>
      <w:r>
        <w:rPr>
          <w:spacing w:val="101"/>
          <w:w w:val="95"/>
        </w:rPr>
      </w:r>
      <w:r>
        <w:rPr>
          <w:w w:val="95"/>
        </w:rPr>
        <w:t>安排信息技术人员随迁，确保设备安装后数据完整、系统正</w:t>
      </w:r>
      <w:r>
        <w:rPr>
          <w:spacing w:val="89"/>
          <w:w w:val="95"/>
        </w:rPr>
        <w:t> </w:t>
      </w:r>
      <w:r>
        <w:rPr>
          <w:spacing w:val="89"/>
          <w:w w:val="95"/>
        </w:rPr>
      </w:r>
      <w:r>
        <w:rPr>
          <w:w w:val="95"/>
        </w:rPr>
        <w:t>常运行。三是明确各区域搬迁负责人，设置现场引导标识，</w:t>
      </w:r>
      <w:r>
        <w:rPr>
          <w:spacing w:val="101"/>
          <w:w w:val="95"/>
        </w:rPr>
        <w:t> </w:t>
      </w:r>
      <w:r>
        <w:rPr>
          <w:spacing w:val="101"/>
          <w:w w:val="95"/>
        </w:rPr>
      </w:r>
      <w:r>
        <w:rPr>
          <w:w w:val="95"/>
        </w:rPr>
        <w:t>制定严格的搬迁顺序和流程，加强现场监督和协调，确保搬</w:t>
      </w:r>
      <w:r>
        <w:rPr>
          <w:spacing w:val="89"/>
          <w:w w:val="95"/>
        </w:rPr>
        <w:t> </w:t>
      </w:r>
      <w:r>
        <w:rPr>
          <w:spacing w:val="89"/>
          <w:w w:val="95"/>
        </w:rPr>
      </w:r>
      <w:r>
        <w:rPr/>
        <w:t>迁现场秩序井然。</w:t>
      </w:r>
    </w:p>
    <w:p>
      <w:pPr>
        <w:pStyle w:val="BodyText"/>
        <w:spacing w:line="240" w:lineRule="auto"/>
        <w:ind w:left="760" w:right="0"/>
        <w:jc w:val="left"/>
        <w:rPr>
          <w:rFonts w:ascii="黑体" w:hAnsi="黑体" w:cs="黑体" w:eastAsia="黑体"/>
        </w:rPr>
      </w:pPr>
      <w:r>
        <w:rPr>
          <w:rFonts w:ascii="黑体" w:hAnsi="黑体" w:cs="黑体" w:eastAsia="黑体"/>
        </w:rPr>
        <w:t>五、其他需要说明的情况</w:t>
      </w:r>
    </w:p>
    <w:p>
      <w:pPr>
        <w:pStyle w:val="BodyText"/>
        <w:spacing w:line="240" w:lineRule="auto" w:before="205"/>
        <w:ind w:left="760" w:right="0"/>
        <w:jc w:val="left"/>
        <w:rPr>
          <w:rFonts w:ascii="仿宋_GB2312" w:hAnsi="仿宋_GB2312" w:cs="仿宋_GB2312" w:eastAsia="仿宋_GB2312"/>
        </w:rPr>
      </w:pPr>
      <w:r>
        <w:rPr/>
        <w:pict>
          <v:shape style="position:absolute;margin-left:378.089996pt;margin-top:48.318501pt;width:123.82pt;height:123.82pt;mso-position-horizontal-relative:page;mso-position-vertical-relative:paragraph;z-index:-2368" type="#_x0000_t75" stroked="false">
            <v:imagedata r:id="rId5" o:title=""/>
          </v:shape>
        </w:pict>
      </w:r>
      <w:r>
        <w:rPr>
          <w:rFonts w:ascii="仿宋_GB2312" w:hAnsi="仿宋_GB2312" w:cs="仿宋_GB2312" w:eastAsia="仿宋_GB2312"/>
        </w:rPr>
        <w:t>无。</w:t>
      </w:r>
    </w:p>
    <w:p>
      <w:pPr>
        <w:spacing w:line="240" w:lineRule="auto" w:before="0"/>
        <w:rPr>
          <w:rFonts w:ascii="仿宋_GB2312" w:hAnsi="仿宋_GB2312" w:cs="仿宋_GB2312" w:eastAsia="仿宋_GB2312"/>
          <w:sz w:val="32"/>
          <w:szCs w:val="3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32"/>
          <w:szCs w:val="32"/>
        </w:rPr>
      </w:pPr>
    </w:p>
    <w:p>
      <w:pPr>
        <w:spacing w:line="240" w:lineRule="auto" w:before="1"/>
        <w:rPr>
          <w:rFonts w:ascii="仿宋_GB2312" w:hAnsi="仿宋_GB2312" w:cs="仿宋_GB2312" w:eastAsia="仿宋_GB2312"/>
          <w:sz w:val="47"/>
          <w:szCs w:val="47"/>
        </w:rPr>
      </w:pPr>
    </w:p>
    <w:p>
      <w:pPr>
        <w:pStyle w:val="BodyText"/>
        <w:spacing w:line="240" w:lineRule="auto" w:before="0"/>
        <w:ind w:left="0" w:right="260"/>
        <w:jc w:val="right"/>
      </w:pPr>
      <w:r>
        <w:rPr>
          <w:w w:val="95"/>
        </w:rPr>
        <w:t>丽水市公安局莲都区分局</w:t>
      </w:r>
      <w:r>
        <w:rPr/>
      </w:r>
    </w:p>
    <w:p>
      <w:pPr>
        <w:pStyle w:val="BodyText"/>
        <w:spacing w:line="240" w:lineRule="auto" w:before="205"/>
        <w:ind w:left="0" w:right="260"/>
        <w:jc w:val="right"/>
        <w:rPr>
          <w:rFonts w:ascii="仿宋_GB2312" w:hAnsi="仿宋_GB2312" w:cs="仿宋_GB2312" w:eastAsia="仿宋_GB2312"/>
        </w:rPr>
      </w:pPr>
      <w:r>
        <w:rPr>
          <w:rFonts w:ascii="仿宋_GB2312" w:hAnsi="仿宋_GB2312" w:cs="仿宋_GB2312" w:eastAsia="仿宋_GB2312"/>
        </w:rPr>
        <w:t>2025</w:t>
      </w:r>
      <w:r>
        <w:rPr>
          <w:rFonts w:ascii="仿宋_GB2312" w:hAnsi="仿宋_GB2312" w:cs="仿宋_GB2312" w:eastAsia="仿宋_GB2312"/>
          <w:spacing w:val="-82"/>
        </w:rPr>
        <w:t> </w:t>
      </w:r>
      <w:r>
        <w:rPr>
          <w:rFonts w:ascii="仿宋_GB2312" w:hAnsi="仿宋_GB2312" w:cs="仿宋_GB2312" w:eastAsia="仿宋_GB2312"/>
        </w:rPr>
        <w:t>年</w:t>
      </w:r>
      <w:r>
        <w:rPr>
          <w:rFonts w:ascii="仿宋_GB2312" w:hAnsi="仿宋_GB2312" w:cs="仿宋_GB2312" w:eastAsia="仿宋_GB2312"/>
          <w:spacing w:val="-81"/>
        </w:rPr>
        <w:t> </w:t>
      </w:r>
      <w:r>
        <w:rPr>
          <w:rFonts w:ascii="仿宋_GB2312" w:hAnsi="仿宋_GB2312" w:cs="仿宋_GB2312" w:eastAsia="仿宋_GB2312"/>
        </w:rPr>
        <w:t>3</w:t>
      </w:r>
      <w:r>
        <w:rPr>
          <w:rFonts w:ascii="仿宋_GB2312" w:hAnsi="仿宋_GB2312" w:cs="仿宋_GB2312" w:eastAsia="仿宋_GB2312"/>
          <w:spacing w:val="-82"/>
        </w:rPr>
        <w:t> </w:t>
      </w:r>
      <w:r>
        <w:rPr>
          <w:rFonts w:ascii="仿宋_GB2312" w:hAnsi="仿宋_GB2312" w:cs="仿宋_GB2312" w:eastAsia="仿宋_GB2312"/>
        </w:rPr>
        <w:t>月</w:t>
      </w:r>
      <w:r>
        <w:rPr>
          <w:rFonts w:ascii="仿宋_GB2312" w:hAnsi="仿宋_GB2312" w:cs="仿宋_GB2312" w:eastAsia="仿宋_GB2312"/>
          <w:spacing w:val="-81"/>
        </w:rPr>
        <w:t> </w:t>
      </w:r>
      <w:r>
        <w:rPr>
          <w:rFonts w:ascii="仿宋_GB2312" w:hAnsi="仿宋_GB2312" w:cs="仿宋_GB2312" w:eastAsia="仿宋_GB2312"/>
        </w:rPr>
        <w:t>25</w:t>
      </w:r>
      <w:r>
        <w:rPr>
          <w:rFonts w:ascii="仿宋_GB2312" w:hAnsi="仿宋_GB2312" w:cs="仿宋_GB2312" w:eastAsia="仿宋_GB2312"/>
          <w:spacing w:val="-84"/>
        </w:rPr>
        <w:t> </w:t>
      </w:r>
      <w:r>
        <w:rPr>
          <w:rFonts w:ascii="仿宋_GB2312" w:hAnsi="仿宋_GB2312" w:cs="仿宋_GB2312" w:eastAsia="仿宋_GB2312"/>
        </w:rPr>
        <w:t>日</w:t>
      </w:r>
    </w:p>
    <w:sectPr>
      <w:pgSz w:w="11910" w:h="16840"/>
      <w:pgMar w:top="1500" w:bottom="280" w:left="168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小标宋简体">
    <w:altName w:val="方正小标宋简体"/>
    <w:charset w:val="86"/>
    <w:family w:val="auto"/>
    <w:pitch w:val="variable"/>
  </w:font>
  <w:font w:name="仿宋_GB2312">
    <w:altName w:val="仿宋_GB2312"/>
    <w:charset w:val="86"/>
    <w:family w:val="modern"/>
    <w:pitch w:val="fixed"/>
  </w:font>
  <w:font w:name="黑体">
    <w:altName w:val="黑体"/>
    <w:charset w:val="86"/>
    <w:family w:val="modern"/>
    <w:pitch w:val="fixed"/>
  </w:font>
  <w:font w:name="仿宋">
    <w:altName w:val="仿宋"/>
    <w:charset w:val="86"/>
    <w:family w:val="modern"/>
    <w:pitch w:val="fixed"/>
  </w:font>
  <w:font w:name="楷体_GB2312">
    <w:altName w:val="楷体_GB2312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8"/>
      <w:ind w:left="120"/>
    </w:pPr>
    <w:rPr>
      <w:rFonts w:ascii="仿宋" w:hAnsi="仿宋" w:eastAsia="仿宋"/>
      <w:sz w:val="32"/>
      <w:szCs w:val="32"/>
    </w:rPr>
  </w:style>
  <w:style w:styleId="Heading1" w:type="paragraph">
    <w:name w:val="Heading 1"/>
    <w:basedOn w:val="Normal"/>
    <w:uiPriority w:val="1"/>
    <w:qFormat/>
    <w:pPr>
      <w:ind w:left="204" w:hanging="3190"/>
      <w:outlineLvl w:val="1"/>
    </w:pPr>
    <w:rPr>
      <w:rFonts w:ascii="方正小标宋简体" w:hAnsi="方正小标宋简体" w:eastAsia="方正小标宋简体"/>
      <w:sz w:val="44"/>
      <w:szCs w:val="44"/>
    </w:rPr>
  </w:style>
  <w:style w:styleId="Heading2" w:type="paragraph">
    <w:name w:val="Heading 2"/>
    <w:basedOn w:val="Normal"/>
    <w:uiPriority w:val="1"/>
    <w:qFormat/>
    <w:pPr>
      <w:spacing w:before="48"/>
      <w:ind w:left="760"/>
      <w:outlineLvl w:val="2"/>
    </w:pPr>
    <w:rPr>
      <w:rFonts w:ascii="楷体_GB2312" w:hAnsi="楷体_GB2312" w:eastAsia="楷体_GB2312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2025-04-11T11:10:07Z</dcterms:created>
  <dcterms:modified xsi:type="dcterms:W3CDTF">2025-04-11T11:10:07Z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2025-04-11T00:00:00Z</vt:filetime>
  </property>
</Properties>
</file>