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《诸暨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村集体经济组织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固定资产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》起草说明</w:t>
      </w:r>
    </w:p>
    <w:p>
      <w:pPr>
        <w:snapToGrid w:val="0"/>
        <w:spacing w:line="560" w:lineRule="exact"/>
        <w:ind w:firstLine="480" w:firstLineChars="15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现就发布《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诸暨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村集体经济组织</w:t>
      </w:r>
      <w:r>
        <w:rPr>
          <w:rFonts w:hint="eastAsia" w:ascii="仿宋_GB2312" w:eastAsia="仿宋_GB2312"/>
          <w:sz w:val="32"/>
          <w:szCs w:val="32"/>
        </w:rPr>
        <w:t>固定资产管理办法》说明如下：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出台背景依据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在我市集体经济组织“三资”管理过程中，固定资产管理重视程度不够，未建立相应的规章制度，未有规范的管理手段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在管理中存在台账建立不完善，处置不规范，处理不及时等问题，这些问题极易造成集体资产流失，影响农村社会稳定。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为切实解决上述问题，根据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《中华人民共和国会计法》、《村集体经济组织会计制度》（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财会〔2023〕14号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《关于印发&lt;农村集体经济组织财务公开规定&gt;的通知》（农经发〔2011〕13号）、《浙江省农村集体资产管理条例》、《浙江省村级集体资产和财务管理公开规定》（浙农经发〔2015〕9号）、《关于规范村级物资（服务）采购的通知》（诸农发〔2019〕18号）、《诸暨市农村产权交易管理办法（试行）》（诸政办发〔2017〕116号）等相关法律法规和政策文件起草了本办法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起草目的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为规范和加强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村集体经济组织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固定资产管理，提高固定资产使用效益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规范固定资产的购置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保管、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处置与维修，保障固定资产的安全完整，防止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村集体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资产流失，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实现经营性资产的保值和增值，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特制定本办法。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主要内容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1、总则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明确本办法适用范围、固定资产管理人员及相应职责。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2、固定资产的范围和分类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明确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符合条件的资产列为固定资产管理：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固定资产按照用途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及性质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分为：房屋和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建筑物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农业基础设施、机械设备、办公设施、运输工具、绿化资产、公益建设设施、其他资产。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0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3、固定资产的日常管理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明确固定资产从编制预算、计划采购、验收入库、登记入账、领用发出到维修保养、处置等各个环节的实物管理和财务核算。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jc w:val="left"/>
        <w:textAlignment w:val="auto"/>
        <w:outlineLvl w:val="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4、固定资产的购置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明确固定资产购置的审批权限。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jc w:val="left"/>
        <w:textAlignment w:val="auto"/>
        <w:outlineLvl w:val="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5、固定资产的处置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  <w:t>明确固定资产处置包括转让、变卖、报废、报损、调出、捐赠、发包、租赁、盘亏等相关流程。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四、文件施行日期说明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本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办法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自发文之日起</w:t>
      </w:r>
      <w:r>
        <w:rPr>
          <w:rFonts w:hint="eastAsia" w:ascii="仿宋_GB2312" w:hAnsi="ˎ̥" w:eastAsia="仿宋_GB2312"/>
          <w:color w:val="000000"/>
          <w:sz w:val="32"/>
          <w:szCs w:val="32"/>
          <w:lang w:val="en-US" w:eastAsia="zh-CN"/>
        </w:rPr>
        <w:t>30日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后施行</w:t>
      </w:r>
      <w:r>
        <w:rPr>
          <w:rFonts w:hint="eastAsia" w:ascii="仿宋_GB2312" w:hAnsi="ˎ̥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85B8E"/>
    <w:rsid w:val="01FC138B"/>
    <w:rsid w:val="1FF85B8E"/>
    <w:rsid w:val="2DF4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2023-08-01T03:09:00Z</dcterms:created>
  <dc:creator>浅草碌碌</dc:creator>
  <cp:lastModifiedBy>浅草碌碌</cp:lastModifiedBy>
  <dcterms:modified xsi:type="dcterms:W3CDTF">2024-01-17T10:29:24Z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C3262DC7E3284691848459DA0204E84C</vt:lpwstr>
  </property>
</Properties>
</file>